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版本号：TZZB-Z-2026050C20260326001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食堂包厨服务项目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TZZB-Z-2026050C</w:t>
      </w:r>
      <w:r>
        <w:br/>
      </w:r>
      <w:r>
        <w:br/>
      </w:r>
      <w:r>
        <w:br/>
      </w:r>
    </w:p>
    <w:p>
      <w:pPr>
        <w:pStyle w:val="null3"/>
        <w:jc w:val="center"/>
        <w:outlineLvl w:val="2"/>
      </w:pPr>
      <w:r>
        <w:rPr>
          <w:rFonts w:ascii="仿宋_GB2312" w:hAnsi="仿宋_GB2312" w:cs="仿宋_GB2312" w:eastAsia="仿宋_GB2312"/>
          <w:sz w:val="28"/>
          <w:b/>
        </w:rPr>
        <w:t>陕西西咸新区人民法院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陕西西咸新区人民法院</w:t>
      </w:r>
      <w:r>
        <w:rPr>
          <w:rFonts w:ascii="仿宋_GB2312" w:hAnsi="仿宋_GB2312" w:cs="仿宋_GB2312" w:eastAsia="仿宋_GB2312"/>
        </w:rPr>
        <w:t>委托，拟对</w:t>
      </w:r>
      <w:r>
        <w:rPr>
          <w:rFonts w:ascii="仿宋_GB2312" w:hAnsi="仿宋_GB2312" w:cs="仿宋_GB2312" w:eastAsia="仿宋_GB2312"/>
        </w:rPr>
        <w:t>食堂包厨服务项目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TZZB-Z-2026050C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食堂包厨服务项目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包含法院机关食堂整体外包服务及四个基层法庭午餐服务；机关食堂负责日常约180人早、午、晚三餐工作餐保障，受工作作息影响，晚餐就餐人数存在合理浮动；基层法庭仅提供午餐服务，就餐人员约60人且动态浮动，单日就餐人数最高不超过60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采购包1（陕西西咸新区人民法院食堂包厨服务项目）：属于专门面向中小企业采购。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2、信用证明：供应商不得为“信用中国”、“中国政府采购网”、“中国执行信息公开网”中被列入重大税收违法失信主体名单、政府采购严重违法失信行为记录名单、失信被执行人名单的供应商。</w:t>
      </w:r>
    </w:p>
    <w:p>
      <w:pPr>
        <w:pStyle w:val="null3"/>
      </w:pPr>
      <w:r>
        <w:rPr>
          <w:rFonts w:ascii="仿宋_GB2312" w:hAnsi="仿宋_GB2312" w:cs="仿宋_GB2312" w:eastAsia="仿宋_GB2312"/>
        </w:rPr>
        <w:t>3、供应商须为具有独立承担民事责任能力的法人、其他组织或自然人：出具合法有效的营业执照或事业单位法人证书等国家规定的相关证明，自然人参与的提供其身份证明。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4、财务状况：供应商需提供以下三种资料中的任意一种：①2024或2025年度经审计的完整财务报告，供应商提供的财务审计报告应当赋码，可通过注册会计师行业统一监管平台(http://acc.mof.gov.cn)进行查验；②响应文件递交截止时间前三个月内其基本开户银行出具的资信证明；③财政部门认可的政府采购专业担保机构出具的投标担保函。 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p>
      <w:pPr>
        <w:pStyle w:val="null3"/>
      </w:pPr>
      <w:r>
        <w:rPr>
          <w:rFonts w:ascii="仿宋_GB2312" w:hAnsi="仿宋_GB2312" w:cs="仿宋_GB2312" w:eastAsia="仿宋_GB2312"/>
        </w:rPr>
        <w:t>5、社保缴纳证明：提供自2025年3月1日以来已缴存的任意1个月的社会保障资金缴存单据或社保机构开具的社会保险参保缴费情况证明；依法不需要缴纳社会保障资金的供应商应提供相关证明文件。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税收缴纳证明：提供自2025年3月1日以来已缴纳的任意1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7、提供具有履行合同所必需的设备和专业技术能力的书面承诺：提供具有履行合同所必需的设备和专业技术能力的书面承诺：提供承诺函，加盖供应商公章。</w:t>
      </w:r>
    </w:p>
    <w:p>
      <w:pPr>
        <w:pStyle w:val="null3"/>
      </w:pPr>
      <w:r>
        <w:rPr>
          <w:rFonts w:ascii="仿宋_GB2312" w:hAnsi="仿宋_GB2312" w:cs="仿宋_GB2312" w:eastAsia="仿宋_GB2312"/>
        </w:rPr>
        <w:t>8、提供参加政府采购活动前三年内在经营活动中没有重大违法记录的书面声明：提供参加政府采购活动前三年内在经营活动中没有重大违法记录的书面声明：提供书面声明，加盖供应商公章。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10、供应商资质：供应商须具有《食品经营许可证》。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陕西西咸新区人民法院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陕西省西咸新区空港新城俊采大街17号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029-32207033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采购包1：1,001,900.00元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 代理服务费缴纳账号：同正项目管理有限公司 开户银行：中国建设银行股份有限公司西安长庆支行 账号：61050190550000001106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陕西西咸新区人民法院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陕西西咸新区人民法院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陕西西咸新区人民法院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以合同具体要求为准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含法院机关食堂整体外包服务及四个基层法庭午餐服务；机关食堂负责日常约180人早、午、晚三餐工作餐保障，受工作作息影响，晚餐就餐人数存在合理浮动；基层法庭仅提供午餐服务，就餐人员约60人且动态浮动，单日就餐人数最高不超过60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1,001,900.00</w:t>
      </w:r>
    </w:p>
    <w:p>
      <w:pPr>
        <w:pStyle w:val="null3"/>
      </w:pPr>
      <w:r>
        <w:rPr>
          <w:rFonts w:ascii="仿宋_GB2312" w:hAnsi="仿宋_GB2312" w:cs="仿宋_GB2312" w:eastAsia="仿宋_GB2312"/>
        </w:rPr>
        <w:t>采购包最高限价（元）: 1,001,900.00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1,001,900.00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项目概况</w:t>
            </w:r>
          </w:p>
          <w:p>
            <w:pPr>
              <w:pStyle w:val="null3"/>
            </w:pPr>
            <w:r>
              <w:rPr>
                <w:rFonts w:ascii="仿宋_GB2312" w:hAnsi="仿宋_GB2312" w:cs="仿宋_GB2312" w:eastAsia="仿宋_GB2312"/>
                <w:sz w:val="20"/>
              </w:rPr>
              <w:t>本项目包含法院机关食堂整体外包服务及四个基层法庭</w:t>
            </w:r>
            <w:r>
              <w:rPr>
                <w:rFonts w:ascii="仿宋_GB2312" w:hAnsi="仿宋_GB2312" w:cs="仿宋_GB2312" w:eastAsia="仿宋_GB2312"/>
                <w:sz w:val="20"/>
              </w:rPr>
              <w:t>午餐</w:t>
            </w:r>
            <w:r>
              <w:rPr>
                <w:rFonts w:ascii="仿宋_GB2312" w:hAnsi="仿宋_GB2312" w:cs="仿宋_GB2312" w:eastAsia="仿宋_GB2312"/>
                <w:sz w:val="20"/>
              </w:rPr>
              <w:t>服务；机关食堂负责日常约</w:t>
            </w:r>
            <w:r>
              <w:rPr>
                <w:rFonts w:ascii="仿宋_GB2312" w:hAnsi="仿宋_GB2312" w:cs="仿宋_GB2312" w:eastAsia="仿宋_GB2312"/>
                <w:sz w:val="20"/>
              </w:rPr>
              <w:t>180</w:t>
            </w:r>
            <w:r>
              <w:rPr>
                <w:rFonts w:ascii="仿宋_GB2312" w:hAnsi="仿宋_GB2312" w:cs="仿宋_GB2312" w:eastAsia="仿宋_GB2312"/>
                <w:sz w:val="20"/>
              </w:rPr>
              <w:t>人早、午、晚三餐工作餐保障，受工作作息影响，晚餐就餐人数存在合理浮动；基层法庭仅提供午餐服务，就餐人员约</w:t>
            </w:r>
            <w:r>
              <w:rPr>
                <w:rFonts w:ascii="仿宋_GB2312" w:hAnsi="仿宋_GB2312" w:cs="仿宋_GB2312" w:eastAsia="仿宋_GB2312"/>
                <w:sz w:val="20"/>
              </w:rPr>
              <w:t>60</w:t>
            </w:r>
            <w:r>
              <w:rPr>
                <w:rFonts w:ascii="仿宋_GB2312" w:hAnsi="仿宋_GB2312" w:cs="仿宋_GB2312" w:eastAsia="仿宋_GB2312"/>
                <w:sz w:val="20"/>
              </w:rPr>
              <w:t>人且动态浮动，单日就餐人数最高不超过</w:t>
            </w:r>
            <w:r>
              <w:rPr>
                <w:rFonts w:ascii="仿宋_GB2312" w:hAnsi="仿宋_GB2312" w:cs="仿宋_GB2312" w:eastAsia="仿宋_GB2312"/>
                <w:sz w:val="20"/>
              </w:rPr>
              <w:t>60</w:t>
            </w:r>
            <w:r>
              <w:rPr>
                <w:rFonts w:ascii="仿宋_GB2312" w:hAnsi="仿宋_GB2312" w:cs="仿宋_GB2312" w:eastAsia="仿宋_GB2312"/>
                <w:sz w:val="20"/>
              </w:rPr>
              <w:t>人</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餐饮服务内容</w:t>
            </w:r>
          </w:p>
          <w:p>
            <w:pPr>
              <w:pStyle w:val="null3"/>
              <w:jc w:val="both"/>
            </w:pPr>
            <w:r>
              <w:rPr>
                <w:rFonts w:ascii="仿宋_GB2312" w:hAnsi="仿宋_GB2312" w:cs="仿宋_GB2312" w:eastAsia="仿宋_GB2312"/>
                <w:sz w:val="20"/>
                <w:b/>
              </w:rPr>
              <w:t>（一）现场运营管理</w:t>
            </w:r>
          </w:p>
          <w:p>
            <w:pPr>
              <w:pStyle w:val="null3"/>
              <w:jc w:val="both"/>
            </w:pPr>
            <w:r>
              <w:rPr>
                <w:rFonts w:ascii="仿宋_GB2312" w:hAnsi="仿宋_GB2312" w:cs="仿宋_GB2312" w:eastAsia="仿宋_GB2312"/>
                <w:sz w:val="20"/>
                <w:b/>
              </w:rPr>
              <w:t xml:space="preserve"> </w:t>
            </w:r>
            <w:r>
              <w:rPr>
                <w:rFonts w:ascii="仿宋_GB2312" w:hAnsi="仿宋_GB2312" w:cs="仿宋_GB2312" w:eastAsia="仿宋_GB2312"/>
                <w:sz w:val="20"/>
                <w:b/>
              </w:rPr>
              <w:t>服务内容</w:t>
            </w:r>
          </w:p>
          <w:p>
            <w:pPr>
              <w:pStyle w:val="null3"/>
              <w:jc w:val="both"/>
            </w:pPr>
            <w:r>
              <w:rPr>
                <w:rFonts w:ascii="仿宋_GB2312" w:hAnsi="仿宋_GB2312" w:cs="仿宋_GB2312" w:eastAsia="仿宋_GB2312"/>
                <w:sz w:val="20"/>
              </w:rPr>
              <w:t>包括但不限于：</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餐厅工作人员的招聘与管理；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餐厅档口的餐品供应；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餐厅档口菜品质量控制；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餐厅所有食材原料供应链搭建与管理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餐厅食品安全管理；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餐厅环境质量管理；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餐厅服务管理；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餐厅设施设备的保管与维护；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突发事件的应急管理等。</w:t>
            </w:r>
          </w:p>
          <w:p>
            <w:pPr>
              <w:pStyle w:val="null3"/>
              <w:jc w:val="both"/>
            </w:pPr>
            <w:r>
              <w:rPr>
                <w:rFonts w:ascii="仿宋_GB2312" w:hAnsi="仿宋_GB2312" w:cs="仿宋_GB2312" w:eastAsia="仿宋_GB2312"/>
                <w:sz w:val="20"/>
                <w:b/>
              </w:rPr>
              <w:t>（二）经营管理服务</w:t>
            </w:r>
          </w:p>
          <w:p>
            <w:pPr>
              <w:pStyle w:val="null3"/>
              <w:jc w:val="both"/>
            </w:pPr>
            <w:r>
              <w:rPr>
                <w:rFonts w:ascii="仿宋_GB2312" w:hAnsi="仿宋_GB2312" w:cs="仿宋_GB2312" w:eastAsia="仿宋_GB2312"/>
                <w:sz w:val="20"/>
              </w:rPr>
              <w:t>包括但不限于：</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结合经营情况</w:t>
            </w:r>
            <w:r>
              <w:rPr>
                <w:rFonts w:ascii="仿宋_GB2312" w:hAnsi="仿宋_GB2312" w:cs="仿宋_GB2312" w:eastAsia="仿宋_GB2312"/>
                <w:sz w:val="20"/>
              </w:rPr>
              <w:t>,建立健全的餐厅组织管理体系，提供组织管理方案与制度；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引进国内先进餐厅管理理念与经验，为餐厅全流程管理提供方案；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对餐饮专业团队的招聘、专业团队的建设管理工作提供建议并协助完成；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对餐厅人员进行日常培训；</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按季度反馈信息系统运行情况以及整改意见；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参与信息系统全流程运行并提供经营管理服务；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参与餐厅供应链系统的选择、导入及监督工作；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餐厅后厨设备提升以及后厨各功能区方案设置；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餐厅各类设施设备的选择与维护提供专业化的建议与意见；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餐厅菜品研发及出品进行持续设计、优化与提升；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对餐厅的食品安全、环境卫生、经营情况等进行检查，并对发现问题进行汇总整理，并协助整改落实；</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配合完成职责范围内的经营管理服务。</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服务要求与标准</w:t>
            </w:r>
          </w:p>
          <w:p>
            <w:pPr>
              <w:pStyle w:val="null3"/>
              <w:jc w:val="left"/>
            </w:pPr>
            <w:r>
              <w:rPr>
                <w:rFonts w:ascii="仿宋_GB2312" w:hAnsi="仿宋_GB2312" w:cs="仿宋_GB2312" w:eastAsia="仿宋_GB2312"/>
                <w:sz w:val="20"/>
                <w:b/>
              </w:rPr>
              <w:t>1.服务要求：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餐厨场地、设备、水电气费用由采购人提供，</w:t>
            </w:r>
            <w:r>
              <w:rPr>
                <w:rFonts w:ascii="仿宋_GB2312" w:hAnsi="仿宋_GB2312" w:cs="仿宋_GB2312" w:eastAsia="仿宋_GB2312"/>
                <w:sz w:val="20"/>
              </w:rPr>
              <w:t>供应商</w:t>
            </w:r>
            <w:r>
              <w:rPr>
                <w:rFonts w:ascii="仿宋_GB2312" w:hAnsi="仿宋_GB2312" w:cs="仿宋_GB2312" w:eastAsia="仿宋_GB2312"/>
                <w:sz w:val="20"/>
              </w:rPr>
              <w:t>应节约使用。厨房餐具厨具、餐厅劳务服务、食材费及耗材费均包含在合同总价中，餐饮服务由</w:t>
            </w:r>
            <w:r>
              <w:rPr>
                <w:rFonts w:ascii="仿宋_GB2312" w:hAnsi="仿宋_GB2312" w:cs="仿宋_GB2312" w:eastAsia="仿宋_GB2312"/>
                <w:sz w:val="20"/>
              </w:rPr>
              <w:t>供应商</w:t>
            </w:r>
            <w:r>
              <w:rPr>
                <w:rFonts w:ascii="仿宋_GB2312" w:hAnsi="仿宋_GB2312" w:cs="仿宋_GB2312" w:eastAsia="仿宋_GB2312"/>
                <w:sz w:val="20"/>
              </w:rPr>
              <w:t>自主经营，自负盈亏。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餐饮标准：</w:t>
            </w:r>
          </w:p>
          <w:p>
            <w:pPr>
              <w:pStyle w:val="null3"/>
              <w:jc w:val="left"/>
            </w:pPr>
            <w:r>
              <w:rPr>
                <w:rFonts w:ascii="仿宋_GB2312" w:hAnsi="仿宋_GB2312" w:cs="仿宋_GB2312" w:eastAsia="仿宋_GB2312"/>
                <w:sz w:val="20"/>
              </w:rPr>
              <w:t>①</w:t>
            </w:r>
            <w:r>
              <w:rPr>
                <w:rFonts w:ascii="仿宋_GB2312" w:hAnsi="仿宋_GB2312" w:cs="仿宋_GB2312" w:eastAsia="仿宋_GB2312"/>
                <w:sz w:val="20"/>
              </w:rPr>
              <w:t>早餐：自助餐（要求菜品不低于</w:t>
            </w:r>
            <w:r>
              <w:rPr>
                <w:rFonts w:ascii="仿宋_GB2312" w:hAnsi="仿宋_GB2312" w:cs="仿宋_GB2312" w:eastAsia="仿宋_GB2312"/>
                <w:sz w:val="20"/>
              </w:rPr>
              <w:t>4种，荤素、蛋奶搭配，稀饭不少于2种，</w:t>
            </w:r>
            <w:r>
              <w:rPr>
                <w:rFonts w:ascii="仿宋_GB2312" w:hAnsi="仿宋_GB2312" w:cs="仿宋_GB2312" w:eastAsia="仿宋_GB2312"/>
                <w:sz w:val="20"/>
              </w:rPr>
              <w:t>小吃、</w:t>
            </w:r>
            <w:r>
              <w:rPr>
                <w:rFonts w:ascii="仿宋_GB2312" w:hAnsi="仿宋_GB2312" w:cs="仿宋_GB2312" w:eastAsia="仿宋_GB2312"/>
                <w:sz w:val="20"/>
              </w:rPr>
              <w:t>主食不少于</w:t>
            </w:r>
            <w:r>
              <w:rPr>
                <w:rFonts w:ascii="仿宋_GB2312" w:hAnsi="仿宋_GB2312" w:cs="仿宋_GB2312" w:eastAsia="仿宋_GB2312"/>
                <w:sz w:val="20"/>
              </w:rPr>
              <w:t>2种）</w:t>
            </w:r>
          </w:p>
          <w:p>
            <w:pPr>
              <w:pStyle w:val="null3"/>
              <w:jc w:val="left"/>
            </w:pPr>
            <w:r>
              <w:rPr>
                <w:rFonts w:ascii="仿宋_GB2312" w:hAnsi="仿宋_GB2312" w:cs="仿宋_GB2312" w:eastAsia="仿宋_GB2312"/>
                <w:sz w:val="20"/>
              </w:rPr>
              <w:t>②</w:t>
            </w:r>
            <w:r>
              <w:rPr>
                <w:rFonts w:ascii="仿宋_GB2312" w:hAnsi="仿宋_GB2312" w:cs="仿宋_GB2312" w:eastAsia="仿宋_GB2312"/>
                <w:sz w:val="20"/>
              </w:rPr>
              <w:t>午餐：周一至周</w:t>
            </w:r>
            <w:r>
              <w:rPr>
                <w:rFonts w:ascii="仿宋_GB2312" w:hAnsi="仿宋_GB2312" w:cs="仿宋_GB2312" w:eastAsia="仿宋_GB2312"/>
                <w:sz w:val="20"/>
              </w:rPr>
              <w:t>五</w:t>
            </w:r>
            <w:r>
              <w:rPr>
                <w:rFonts w:ascii="仿宋_GB2312" w:hAnsi="仿宋_GB2312" w:cs="仿宋_GB2312" w:eastAsia="仿宋_GB2312"/>
                <w:sz w:val="20"/>
              </w:rPr>
              <w:t>有</w:t>
            </w:r>
            <w:r>
              <w:rPr>
                <w:rFonts w:ascii="仿宋_GB2312" w:hAnsi="仿宋_GB2312" w:cs="仿宋_GB2312" w:eastAsia="仿宋_GB2312"/>
                <w:sz w:val="20"/>
              </w:rPr>
              <w:t>2</w:t>
            </w:r>
            <w:r>
              <w:rPr>
                <w:rFonts w:ascii="仿宋_GB2312" w:hAnsi="仿宋_GB2312" w:cs="仿宋_GB2312" w:eastAsia="仿宋_GB2312"/>
                <w:sz w:val="20"/>
              </w:rPr>
              <w:t>种及以上可供选择的主食，菜品不低于</w:t>
            </w:r>
            <w:r>
              <w:rPr>
                <w:rFonts w:ascii="仿宋_GB2312" w:hAnsi="仿宋_GB2312" w:cs="仿宋_GB2312" w:eastAsia="仿宋_GB2312"/>
                <w:sz w:val="20"/>
              </w:rPr>
              <w:t>4种</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汤</w:t>
            </w:r>
            <w:r>
              <w:rPr>
                <w:rFonts w:ascii="仿宋_GB2312" w:hAnsi="仿宋_GB2312" w:cs="仿宋_GB2312" w:eastAsia="仿宋_GB2312"/>
                <w:sz w:val="20"/>
              </w:rPr>
              <w:t>，</w:t>
            </w:r>
            <w:r>
              <w:rPr>
                <w:rFonts w:ascii="仿宋_GB2312" w:hAnsi="仿宋_GB2312" w:cs="仿宋_GB2312" w:eastAsia="仿宋_GB2312"/>
                <w:sz w:val="20"/>
              </w:rPr>
              <w:t>各种地方特色小吃</w:t>
            </w:r>
            <w:r>
              <w:rPr>
                <w:rFonts w:ascii="仿宋_GB2312" w:hAnsi="仿宋_GB2312" w:cs="仿宋_GB2312" w:eastAsia="仿宋_GB2312"/>
                <w:sz w:val="20"/>
              </w:rPr>
              <w:t>不少于</w:t>
            </w:r>
            <w:r>
              <w:rPr>
                <w:rFonts w:ascii="仿宋_GB2312" w:hAnsi="仿宋_GB2312" w:cs="仿宋_GB2312" w:eastAsia="仿宋_GB2312"/>
                <w:sz w:val="20"/>
              </w:rPr>
              <w:t>2种</w:t>
            </w:r>
            <w:r>
              <w:rPr>
                <w:rFonts w:ascii="仿宋_GB2312" w:hAnsi="仿宋_GB2312" w:cs="仿宋_GB2312" w:eastAsia="仿宋_GB2312"/>
                <w:sz w:val="20"/>
              </w:rPr>
              <w:t>；每</w:t>
            </w:r>
            <w:r>
              <w:rPr>
                <w:rFonts w:ascii="仿宋_GB2312" w:hAnsi="仿宋_GB2312" w:cs="仿宋_GB2312" w:eastAsia="仿宋_GB2312"/>
                <w:sz w:val="20"/>
              </w:rPr>
              <w:t>天</w:t>
            </w:r>
            <w:r>
              <w:rPr>
                <w:rFonts w:ascii="仿宋_GB2312" w:hAnsi="仿宋_GB2312" w:cs="仿宋_GB2312" w:eastAsia="仿宋_GB2312"/>
                <w:sz w:val="20"/>
              </w:rPr>
              <w:t>随餐提供水果。服务商实施食谱前应经采购人审核方可执行。</w:t>
            </w:r>
          </w:p>
          <w:p>
            <w:pPr>
              <w:pStyle w:val="null3"/>
              <w:jc w:val="left"/>
            </w:pPr>
            <w:r>
              <w:rPr>
                <w:rFonts w:ascii="仿宋_GB2312" w:hAnsi="仿宋_GB2312" w:cs="仿宋_GB2312" w:eastAsia="仿宋_GB2312"/>
                <w:sz w:val="20"/>
              </w:rPr>
              <w:t>③</w:t>
            </w:r>
            <w:r>
              <w:rPr>
                <w:rFonts w:ascii="仿宋_GB2312" w:hAnsi="仿宋_GB2312" w:cs="仿宋_GB2312" w:eastAsia="仿宋_GB2312"/>
                <w:sz w:val="20"/>
              </w:rPr>
              <w:t>晚餐：随机（菜品新鲜且不低于</w:t>
            </w:r>
            <w:r>
              <w:rPr>
                <w:rFonts w:ascii="仿宋_GB2312" w:hAnsi="仿宋_GB2312" w:cs="仿宋_GB2312" w:eastAsia="仿宋_GB2312"/>
                <w:sz w:val="20"/>
              </w:rPr>
              <w:t>2种）。</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用餐人数：西咸法院约为</w:t>
            </w: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0</w:t>
            </w:r>
            <w:r>
              <w:rPr>
                <w:rFonts w:ascii="仿宋_GB2312" w:hAnsi="仿宋_GB2312" w:cs="仿宋_GB2312" w:eastAsia="仿宋_GB2312"/>
                <w:sz w:val="20"/>
              </w:rPr>
              <w:t>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2.用餐时间段</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1）早餐：8:20-8:50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2）午餐：12:00-13:10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3）晚餐：18:00-19:10</w:t>
            </w:r>
          </w:p>
          <w:p>
            <w:pPr>
              <w:pStyle w:val="null3"/>
              <w:jc w:val="left"/>
            </w:pPr>
            <w:r>
              <w:rPr>
                <w:rFonts w:ascii="仿宋_GB2312" w:hAnsi="仿宋_GB2312" w:cs="仿宋_GB2312" w:eastAsia="仿宋_GB2312"/>
                <w:sz w:val="20"/>
                <w:b/>
              </w:rPr>
              <w:t>3.管理要求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1）供应商负责制定菜单，每周定期更换；</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2）供应商做好所有原材料计划提报与接收保管档案记录，采购人有权随时检查；乙方选定的食材供应商须在甲方备案</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采购人成立餐厅监督小组，每月不定期对原材料价格、质量、数量进行抽查:原材料询价包括市场询价和第三方询价(物价局、市场中心询价);经询价后若食材供货商价格高于市场价将要求供货方进行调价，且给予处罚。具体处罚为:第一次高于市场价时将扣除当月货款总金额的5%,第二次扣除当月货款总金额的10%,并有权要求乙方与该供货商解除合同。更换新的食材供货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4）供应商负责做好食堂后厨及餐厅清洁卫生；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5）供应商负责餐饮质量、现场安全生产管理等相关工作</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6）供应商须根据实际用餐人数情况足额配备餐饮服务人员以保证服务质量。所有餐饮服务人员须持有有效的健康证</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7）所有菜品应根据季节变化更新原料搭配，注重菜品更新；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8）餐厅食品卫生管理工作，对食品配餐间、食品加工间以及工作人员的卫生等情况进行管理；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9）餐厅食品安全管理工作，对食材入库检查、食材加工烹调、厨房餐具用具等重点环节进行重点把控；</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10）餐厅范围内的设施设备进行专人建档管理并做好日常维护；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11）餐厅各区域内的安全设施是否正常，制定消防演练、预案演练等工作，确保餐厅人员和财产安全；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12）安全、消防知识学习，定期进行安全、消防检查，及时处理安全漏洞与隐患，遇险情立即采取应急措施，并及时报告相关领导</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13）制定科学、严谨、明确、客观、合理的人员考核管理办法，保证考核工作有据可依、有章可循</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）财务上要建立独立账户，确保专款专用</w:t>
            </w:r>
            <w:r>
              <w:rPr>
                <w:rFonts w:ascii="仿宋_GB2312" w:hAnsi="仿宋_GB2312" w:cs="仿宋_GB2312" w:eastAsia="仿宋_GB2312"/>
                <w:sz w:val="20"/>
              </w:rPr>
              <w:t>。</w:t>
            </w:r>
            <w:r>
              <w:rPr>
                <w:rFonts w:ascii="仿宋_GB2312" w:hAnsi="仿宋_GB2312" w:cs="仿宋_GB2312" w:eastAsia="仿宋_GB2312"/>
                <w:sz w:val="20"/>
              </w:rPr>
              <w:t>采购人有权对乙方相关财务支出情况进行审计。</w:t>
            </w:r>
          </w:p>
          <w:p>
            <w:pPr>
              <w:pStyle w:val="null3"/>
              <w:jc w:val="both"/>
            </w:pPr>
            <w:r>
              <w:rPr>
                <w:rFonts w:ascii="仿宋_GB2312" w:hAnsi="仿宋_GB2312" w:cs="仿宋_GB2312" w:eastAsia="仿宋_GB2312"/>
                <w:sz w:val="20"/>
                <w:b/>
              </w:rPr>
              <w:t>4.餐厅人员要求及标准:</w:t>
            </w:r>
          </w:p>
          <w:p>
            <w:pPr>
              <w:pStyle w:val="null3"/>
              <w:jc w:val="both"/>
            </w:pPr>
            <w:r>
              <w:rPr>
                <w:rFonts w:ascii="仿宋_GB2312" w:hAnsi="仿宋_GB2312" w:cs="仿宋_GB2312" w:eastAsia="仿宋_GB2312"/>
                <w:sz w:val="20"/>
              </w:rPr>
              <w:t>餐厅服务人员应满足以下条件：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凡食品生产经营人员应按照相关规定进行健康检查，取得健康证明后方可参加工作；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凡患有痢疾、伤寒、病毒性肝炎等消化道传染病（包括病原携带者），活动性肺结核，化脓性或者渗出性皮肤病及其它有碍食品卫生的疾病，不得从事接触直接入口食品工作；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凡食品从业人员手部有开放性、感染性伤口，必须调离工作岗位；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人员须提供入职人员档案、身份证复印件、员工花名册以及对应照片、保险、健康证明、无犯罪记录证明等，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人员应为年龄</w:t>
            </w:r>
            <w:r>
              <w:rPr>
                <w:rFonts w:ascii="仿宋_GB2312" w:hAnsi="仿宋_GB2312" w:cs="仿宋_GB2312" w:eastAsia="仿宋_GB2312"/>
                <w:sz w:val="20"/>
              </w:rPr>
              <w:t>18周岁以上的中国公民，品行良好，遵纪守法，无犯罪记录或治安处罚记录。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人员应具备相应岗位的工作能力和工作经验，思想作风正派；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7）供应商</w:t>
            </w:r>
            <w:r>
              <w:rPr>
                <w:rFonts w:ascii="仿宋_GB2312" w:hAnsi="仿宋_GB2312" w:cs="仿宋_GB2312" w:eastAsia="仿宋_GB2312"/>
                <w:sz w:val="20"/>
              </w:rPr>
              <w:t>需提供人员名单、身份证号码等个人信息，以便于后期采购人随时核查。如出现虚假响应或不响应等情况，则取消</w:t>
            </w:r>
            <w:r>
              <w:rPr>
                <w:rFonts w:ascii="仿宋_GB2312" w:hAnsi="仿宋_GB2312" w:cs="仿宋_GB2312" w:eastAsia="仿宋_GB2312"/>
                <w:sz w:val="20"/>
              </w:rPr>
              <w:t>成交</w:t>
            </w:r>
            <w:r>
              <w:rPr>
                <w:rFonts w:ascii="仿宋_GB2312" w:hAnsi="仿宋_GB2312" w:cs="仿宋_GB2312" w:eastAsia="仿宋_GB2312"/>
                <w:sz w:val="20"/>
              </w:rPr>
              <w:t>资格。</w:t>
            </w:r>
          </w:p>
          <w:p>
            <w:pPr>
              <w:pStyle w:val="null3"/>
              <w:jc w:val="left"/>
            </w:pPr>
            <w:r>
              <w:rPr>
                <w:rFonts w:ascii="仿宋_GB2312" w:hAnsi="仿宋_GB2312" w:cs="仿宋_GB2312" w:eastAsia="仿宋_GB2312"/>
                <w:sz w:val="20"/>
                <w:b/>
              </w:rPr>
              <w:t>5.食品安全生产要求及标准: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依照法律法规和食品安全标准从事加工经营活动，对社会和公众负责，采取有效管理措施，保证食品安全，接受社会监督，承担社会责任。按照许可范围依法经菅,并在就餐场所醒目位置悬挂或者摆放食品经营许可证；</w:t>
            </w:r>
          </w:p>
          <w:p>
            <w:pPr>
              <w:pStyle w:val="null3"/>
              <w:jc w:val="both"/>
            </w:pPr>
            <w:r>
              <w:rPr>
                <w:rFonts w:ascii="仿宋_GB2312" w:hAnsi="仿宋_GB2312" w:cs="仿宋_GB2312" w:eastAsia="仿宋_GB2312"/>
                <w:sz w:val="20"/>
              </w:rPr>
              <w:t>(2)建立健全食品库房管理制度、食品加工间管理制度、粗加工管理制度、烹调加工管理制度、面食制作管理制度、食品留样制度、餐具洗涤消杀管理制度等相关制度；</w:t>
            </w:r>
          </w:p>
          <w:p>
            <w:pPr>
              <w:pStyle w:val="null3"/>
              <w:jc w:val="both"/>
            </w:pPr>
            <w:r>
              <w:rPr>
                <w:rFonts w:ascii="仿宋_GB2312" w:hAnsi="仿宋_GB2312" w:cs="仿宋_GB2312" w:eastAsia="仿宋_GB2312"/>
                <w:sz w:val="20"/>
              </w:rPr>
              <w:t>(3)建立餐厅食品安全管理组织机构,配备培训合格的食品安全管理员，对食品生产过程实施内部捡查管理并记录,落实责任到人和员工奖罚制度管理，积极预防和控制食品安全事件。</w:t>
            </w:r>
          </w:p>
          <w:p>
            <w:pPr>
              <w:pStyle w:val="null3"/>
              <w:jc w:val="left"/>
            </w:pPr>
            <w:r>
              <w:rPr>
                <w:rFonts w:ascii="仿宋_GB2312" w:hAnsi="仿宋_GB2312" w:cs="仿宋_GB2312" w:eastAsia="仿宋_GB2312"/>
                <w:sz w:val="20"/>
                <w:b/>
              </w:rPr>
              <w:t>6.卫生要求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1）厨房内配备防蝇、防鼠措施和设施。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2）连接餐厅的通道干净整洁，地面无积水和油腻，有隔音、隔气装置，设施完好有效。</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3）灶台和橱柜清洁完好，无破损，无油垢，无垃圾，橱柜内各种用具用品摆放有序，无私人用品。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4）排烟罩清洁完好，罩面、滤油网以及里面的照明灯具均无油垢，有定期擦排烟罩和清洗滤油网的措施。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5）调料缸干净整洁，各种调料充足，不变质，用餐结束时坚持加盖盖好。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6）砧板清洁，无霉斑积垢，用餐结束时，要竖放或置于两面通风处。</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7）刀具清洁无锈迹，有安全的存放刀架，并实行个人保管制度。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冰箱(冰柜、冷藏柜、保鲜柜)清洁完好，有定期的清理和除霜制度,表面无锈迹，无油垢，无破损；冰箱内干净，无积水，无异味，摆放整齐，严格做到鱼肉分开、荤素分开、生热分开、成品和半成品分开；无私人物品，并由专人管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冷拼间、面点间坚持做到“三专”(专间、专人、专用具)、“三严”(严格检査进货、严格分开生熟食品、严格消毒各种用具)、“三不入”(未经洗净的生食品不准入内、非有关的人员不准入内、私人的物品不得带入)，专间内备有“三水”(消毒水、洗涤水、清水)，进入专间实行两次更衣。</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10）所有炊具、盛器、餐具清洁完好，无破损，无油垢。</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11）厨房的四壁、天花板干净整洁、无破损，地面、排水沟、无积水、无油垢、无积尘、无垃圾、无破损。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12）厨房门窗清洁完好，无油垢、无积尘、无破损。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13）脚踏式垃圾箱(桶)加盖盖好，四周无散积垃圾，及时清运。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14）厨房内四害密度控制在标准要求内，有定期的除害打药措施。</w:t>
            </w:r>
          </w:p>
          <w:p>
            <w:pPr>
              <w:pStyle w:val="null3"/>
              <w:jc w:val="both"/>
            </w:pPr>
            <w:r>
              <w:rPr>
                <w:rFonts w:ascii="仿宋_GB2312" w:hAnsi="仿宋_GB2312" w:cs="仿宋_GB2312" w:eastAsia="仿宋_GB2312"/>
                <w:sz w:val="20"/>
                <w:b/>
              </w:rPr>
              <w:t>7.严格落实监管意见和整改的要求；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食品安全管理员须认真按照职责要求，组织贯彻落实管理人员和从业人员食品安全知识培训、员工健康管理、索证票据、餐具清洗消毒、综合检查、设备管理,环境卫生管理等各项食品安全管理制度，并做好相关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2）每位员工都要严把食品安全卫生关，拿到出餐台的产品不得出现任何异物，切实做好预防食物中毒的工作。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3）餐厅设施设备清洗消毒和维护要求及标准。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4）厨房员工必须进行机器设备安全使用知识的培训。</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5）进场后对厨房设备进行全面统计造册，建立“设施设备清单”及“设施设备台帐”。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6）各部门掌握自己所用设备的正确使用方法并严格按照设备操作说明书要求操作。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7）定期进行设施设备安全检查，并填写“设施设备定期巡检表”。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8）根据设备情况编制各项设备“年度保养计划”及“设备大中修计划”，对于在保修期间的设施设备问题及时联系厂家进行免费维保；对于超出保修期的设施设备问题及时联系相关人员进行维保。</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9）专人对厨房所有设备及水、电、气等重点安全事项进行检查，确保万无一失，方可离开厨房，并锁好厨房门锁。</w:t>
            </w:r>
          </w:p>
          <w:p>
            <w:pPr>
              <w:pStyle w:val="null3"/>
              <w:jc w:val="both"/>
            </w:pPr>
            <w:r>
              <w:rPr>
                <w:rFonts w:ascii="仿宋_GB2312" w:hAnsi="仿宋_GB2312" w:cs="仿宋_GB2312" w:eastAsia="仿宋_GB2312"/>
                <w:sz w:val="20"/>
                <w:b/>
              </w:rPr>
              <w:t>8.餐厅消防安全管理要求及标准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1）在营业期间，保障安全出口、疏散通道畅通无阻，消防安全疏散标志要随时完好。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工作人员都要参加餐厅的消防知识培训，了解本位灭火器材的位置及性能。所属工作人员必须做到“四懂四会”，即懂得本岗位的火灾危险性、懂得预防火灾的措施、懂得扑救火灾的方法、懂得逃生自救方法；会报警，会使用消防器材，会扑救初起火灾，会组织引导人员疏散；</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3）电器设备使用时严格遵守操作规程，操作人员使用前必须熟悉操作程序，出现故障时及时处理。未经安全负责人同意，不得随意布置电源线路和安装使用大功率电气设备；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4）不得擅自改、装设施、设备，以免引发火险事故；确需进行改装的需提前上报至甲方，由甲方进行核实确认后进行改装；</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5）餐厅配备的消防设施和灭火器材，必须随时保持完好有效，不准随意的挪动和损坏，如发现有异常情况应及时向相关负责部门上报；</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常检查炉灶的各部位，发现门阀堵塞、失灵、胶管老化等问题，要立即停用修理。如发现室内有液化气气味，要立即关闭炉灶开关和角阀，切断气源，及时打开窗户，严禁在周围吸烟、点火或启动电器开关。检查漏点可用肥皂水，严禁使用明火试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7）工作结束后，操作人员及时关闭厨房所有阀门，切断气源、火源和电源。</w:t>
            </w:r>
          </w:p>
          <w:p>
            <w:pPr>
              <w:pStyle w:val="null3"/>
              <w:jc w:val="left"/>
            </w:pPr>
            <w:r>
              <w:rPr>
                <w:rFonts w:ascii="仿宋_GB2312" w:hAnsi="仿宋_GB2312" w:cs="仿宋_GB2312" w:eastAsia="仿宋_GB2312"/>
                <w:sz w:val="20"/>
                <w:b/>
              </w:rPr>
              <w:t>9.管理模式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1）由</w:t>
            </w:r>
            <w:r>
              <w:rPr>
                <w:rFonts w:ascii="仿宋_GB2312" w:hAnsi="仿宋_GB2312" w:cs="仿宋_GB2312" w:eastAsia="仿宋_GB2312"/>
                <w:sz w:val="20"/>
              </w:rPr>
              <w:t>供应商</w:t>
            </w:r>
            <w:r>
              <w:rPr>
                <w:rFonts w:ascii="仿宋_GB2312" w:hAnsi="仿宋_GB2312" w:cs="仿宋_GB2312" w:eastAsia="仿宋_GB2312"/>
                <w:sz w:val="20"/>
              </w:rPr>
              <w:t>委派专业厨房工作及管理人员到餐厅进行专业厨房运营和管理，为工作人员提供膳食服务。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2）委托方为</w:t>
            </w:r>
            <w:r>
              <w:rPr>
                <w:rFonts w:ascii="仿宋_GB2312" w:hAnsi="仿宋_GB2312" w:cs="仿宋_GB2312" w:eastAsia="仿宋_GB2312"/>
                <w:sz w:val="20"/>
              </w:rPr>
              <w:t>供应商</w:t>
            </w:r>
            <w:r>
              <w:rPr>
                <w:rFonts w:ascii="仿宋_GB2312" w:hAnsi="仿宋_GB2312" w:cs="仿宋_GB2312" w:eastAsia="仿宋_GB2312"/>
                <w:sz w:val="20"/>
              </w:rPr>
              <w:t>提供必要的设备、水、电、天燃气及经营场地，并安排人员指导餐厅运营管理，以保证餐饮企业经营行为合法有效。</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3）委托方负责监督审批</w:t>
            </w:r>
            <w:r>
              <w:rPr>
                <w:rFonts w:ascii="仿宋_GB2312" w:hAnsi="仿宋_GB2312" w:cs="仿宋_GB2312" w:eastAsia="仿宋_GB2312"/>
                <w:sz w:val="20"/>
              </w:rPr>
              <w:t>供应商</w:t>
            </w:r>
            <w:r>
              <w:rPr>
                <w:rFonts w:ascii="仿宋_GB2312" w:hAnsi="仿宋_GB2312" w:cs="仿宋_GB2312" w:eastAsia="仿宋_GB2312"/>
                <w:sz w:val="20"/>
              </w:rPr>
              <w:t>服务品种和价格；监督和检查餐厅的卫生安全工作，对违规行为进行处罚；抽查菜品和服务质量。</w:t>
            </w:r>
          </w:p>
          <w:p>
            <w:pPr>
              <w:pStyle w:val="null3"/>
              <w:jc w:val="left"/>
            </w:pPr>
            <w:r>
              <w:rPr>
                <w:rFonts w:ascii="仿宋_GB2312" w:hAnsi="仿宋_GB2312" w:cs="仿宋_GB2312" w:eastAsia="仿宋_GB2312"/>
                <w:sz w:val="20"/>
                <w:b/>
              </w:rPr>
              <w:t>10.原材料质量标准</w:t>
            </w:r>
          </w:p>
          <w:p>
            <w:pPr>
              <w:pStyle w:val="null3"/>
            </w:pPr>
            <w:r>
              <w:rPr>
                <w:rFonts w:ascii="仿宋_GB2312" w:hAnsi="仿宋_GB2312" w:cs="仿宋_GB2312" w:eastAsia="仿宋_GB2312"/>
                <w:sz w:val="20"/>
              </w:rPr>
              <w:t>（</w:t>
            </w:r>
            <w:r>
              <w:rPr>
                <w:rFonts w:ascii="仿宋_GB2312" w:hAnsi="仿宋_GB2312" w:cs="仿宋_GB2312" w:eastAsia="仿宋_GB2312"/>
                <w:sz w:val="20"/>
              </w:rPr>
              <w:t>1）采购带包装的食品时，禁止采购“三无”产品，即无“生产日期、保质期或有效食用截止日期、生产厂家”，三者缺一不可。</w:t>
            </w:r>
          </w:p>
          <w:p>
            <w:pPr>
              <w:pStyle w:val="null3"/>
            </w:pPr>
            <w:r>
              <w:rPr>
                <w:rFonts w:ascii="仿宋_GB2312" w:hAnsi="仿宋_GB2312" w:cs="仿宋_GB2312" w:eastAsia="仿宋_GB2312"/>
                <w:sz w:val="20"/>
              </w:rPr>
              <w:t>（</w:t>
            </w:r>
            <w:r>
              <w:rPr>
                <w:rFonts w:ascii="仿宋_GB2312" w:hAnsi="仿宋_GB2312" w:cs="仿宋_GB2312" w:eastAsia="仿宋_GB2312"/>
                <w:sz w:val="20"/>
              </w:rPr>
              <w:t>2）禁止采购无《食品生产许可证》编号的产品，编号由英文字母“QS”加12位阿拉伯数字构成。</w:t>
            </w:r>
          </w:p>
          <w:p>
            <w:pPr>
              <w:pStyle w:val="null3"/>
            </w:pPr>
            <w:r>
              <w:rPr>
                <w:rFonts w:ascii="仿宋_GB2312" w:hAnsi="仿宋_GB2312" w:cs="仿宋_GB2312" w:eastAsia="仿宋_GB2312"/>
                <w:sz w:val="20"/>
              </w:rPr>
              <w:t>（</w:t>
            </w:r>
            <w:r>
              <w:rPr>
                <w:rFonts w:ascii="仿宋_GB2312" w:hAnsi="仿宋_GB2312" w:cs="仿宋_GB2312" w:eastAsia="仿宋_GB2312"/>
                <w:sz w:val="20"/>
              </w:rPr>
              <w:t>3）食品原材料品质的基本要求和标准：</w:t>
            </w:r>
          </w:p>
          <w:p>
            <w:pPr>
              <w:pStyle w:val="null3"/>
            </w:pPr>
            <w:r>
              <w:rPr>
                <w:rFonts w:ascii="仿宋_GB2312" w:hAnsi="仿宋_GB2312" w:cs="仿宋_GB2312" w:eastAsia="仿宋_GB2312"/>
                <w:sz w:val="20"/>
              </w:rPr>
              <w:t>①根据采购人对膳食的要求，按照合理和营养的原则来确定；</w:t>
            </w:r>
          </w:p>
          <w:p>
            <w:pPr>
              <w:pStyle w:val="null3"/>
            </w:pPr>
            <w:r>
              <w:rPr>
                <w:rFonts w:ascii="仿宋_GB2312" w:hAnsi="仿宋_GB2312" w:cs="仿宋_GB2312" w:eastAsia="仿宋_GB2312"/>
                <w:sz w:val="20"/>
              </w:rPr>
              <w:t>②按照采购方就餐者对原料的食用习惯和食用价值确定；</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蔬菜类标准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①</w:t>
            </w:r>
            <w:r>
              <w:rPr>
                <w:rFonts w:ascii="仿宋_GB2312" w:hAnsi="仿宋_GB2312" w:cs="仿宋_GB2312" w:eastAsia="仿宋_GB2312"/>
                <w:sz w:val="20"/>
              </w:rPr>
              <w:t>蔬菜中农药最大残留限量必须符合</w:t>
            </w:r>
            <w:r>
              <w:rPr>
                <w:rFonts w:ascii="仿宋_GB2312" w:hAnsi="仿宋_GB2312" w:cs="仿宋_GB2312" w:eastAsia="仿宋_GB2312"/>
                <w:sz w:val="20"/>
              </w:rPr>
              <w:t>GB 2763—2026《食品安全国家标准 食品中农药最大残留限量》规定。</w:t>
            </w:r>
          </w:p>
          <w:p>
            <w:pPr>
              <w:pStyle w:val="null3"/>
              <w:jc w:val="left"/>
            </w:pPr>
            <w:r>
              <w:rPr>
                <w:rFonts w:ascii="仿宋_GB2312" w:hAnsi="仿宋_GB2312" w:cs="仿宋_GB2312" w:eastAsia="仿宋_GB2312"/>
                <w:sz w:val="20"/>
              </w:rPr>
              <w:t>蔬菜中污染物（重金属）限量必须符合</w:t>
            </w:r>
            <w:r>
              <w:rPr>
                <w:rFonts w:ascii="仿宋_GB2312" w:hAnsi="仿宋_GB2312" w:cs="仿宋_GB2312" w:eastAsia="仿宋_GB2312"/>
                <w:sz w:val="20"/>
              </w:rPr>
              <w:t>GB 2762—2022《食品安全国家标准 食品中污染物限量》规定。</w:t>
            </w:r>
          </w:p>
          <w:p>
            <w:pPr>
              <w:pStyle w:val="null3"/>
              <w:jc w:val="left"/>
            </w:pPr>
            <w:r>
              <w:rPr>
                <w:rFonts w:ascii="仿宋_GB2312" w:hAnsi="仿宋_GB2312" w:cs="仿宋_GB2312" w:eastAsia="仿宋_GB2312"/>
                <w:sz w:val="20"/>
              </w:rPr>
              <w:t>国家明令禁用农药在蔬菜中不得检出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②蔬菜、瓜果类具体标准</w:t>
            </w:r>
          </w:p>
          <w:p>
            <w:pPr>
              <w:pStyle w:val="null3"/>
              <w:jc w:val="left"/>
            </w:pPr>
            <w:r>
              <w:rPr>
                <w:rFonts w:ascii="仿宋_GB2312" w:hAnsi="仿宋_GB2312" w:cs="仿宋_GB2312" w:eastAsia="仿宋_GB2312"/>
                <w:sz w:val="20"/>
              </w:rPr>
              <w:t>大白菜：新鲜洁白，白面无黑色斑点，里面无烂心、无开花、无坏叶；</w:t>
            </w:r>
          </w:p>
          <w:p>
            <w:pPr>
              <w:pStyle w:val="null3"/>
              <w:jc w:val="left"/>
            </w:pPr>
            <w:r>
              <w:rPr>
                <w:rFonts w:ascii="仿宋_GB2312" w:hAnsi="仿宋_GB2312" w:cs="仿宋_GB2312" w:eastAsia="仿宋_GB2312"/>
                <w:sz w:val="20"/>
              </w:rPr>
              <w:t>白萝卜：表皮光洁，无黑心、无空心；</w:t>
            </w:r>
          </w:p>
          <w:p>
            <w:pPr>
              <w:pStyle w:val="null3"/>
              <w:jc w:val="left"/>
            </w:pPr>
            <w:r>
              <w:rPr>
                <w:rFonts w:ascii="仿宋_GB2312" w:hAnsi="仿宋_GB2312" w:cs="仿宋_GB2312" w:eastAsia="仿宋_GB2312"/>
                <w:sz w:val="20"/>
              </w:rPr>
              <w:t>青笋：新鲜、通体均称，无竹节、无乱尾、无空心</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尖椒：无异味，尾部新鲜、硬朗；</w:t>
            </w:r>
          </w:p>
          <w:p>
            <w:pPr>
              <w:pStyle w:val="null3"/>
              <w:jc w:val="left"/>
            </w:pPr>
            <w:r>
              <w:rPr>
                <w:rFonts w:ascii="仿宋_GB2312" w:hAnsi="仿宋_GB2312" w:cs="仿宋_GB2312" w:eastAsia="仿宋_GB2312"/>
                <w:sz w:val="20"/>
              </w:rPr>
              <w:t>圆椒：无异味，尾部新鲜、硬朗；</w:t>
            </w:r>
          </w:p>
          <w:p>
            <w:pPr>
              <w:pStyle w:val="null3"/>
              <w:jc w:val="left"/>
            </w:pPr>
            <w:r>
              <w:rPr>
                <w:rFonts w:ascii="仿宋_GB2312" w:hAnsi="仿宋_GB2312" w:cs="仿宋_GB2312" w:eastAsia="仿宋_GB2312"/>
                <w:sz w:val="20"/>
              </w:rPr>
              <w:t>红椒：无异味，尾部新鲜、硬朗、硬而不烂；</w:t>
            </w:r>
          </w:p>
          <w:p>
            <w:pPr>
              <w:pStyle w:val="null3"/>
              <w:jc w:val="left"/>
            </w:pPr>
            <w:r>
              <w:rPr>
                <w:rFonts w:ascii="仿宋_GB2312" w:hAnsi="仿宋_GB2312" w:cs="仿宋_GB2312" w:eastAsia="仿宋_GB2312"/>
                <w:sz w:val="20"/>
              </w:rPr>
              <w:t>包菜：无黄叶、虫叶、结实无烂心；</w:t>
            </w:r>
          </w:p>
          <w:p>
            <w:pPr>
              <w:pStyle w:val="null3"/>
              <w:jc w:val="left"/>
            </w:pPr>
            <w:r>
              <w:rPr>
                <w:rFonts w:ascii="仿宋_GB2312" w:hAnsi="仿宋_GB2312" w:cs="仿宋_GB2312" w:eastAsia="仿宋_GB2312"/>
                <w:sz w:val="20"/>
              </w:rPr>
              <w:t>蒜苔：长而匀称、绿色鲜艳、无暗斑、尾部老硬不能超过</w:t>
            </w:r>
            <w:r>
              <w:rPr>
                <w:rFonts w:ascii="仿宋_GB2312" w:hAnsi="仿宋_GB2312" w:cs="仿宋_GB2312" w:eastAsia="仿宋_GB2312"/>
                <w:sz w:val="20"/>
              </w:rPr>
              <w:t>1寸，没有冻伤（中间抽看，防冻烂）；</w:t>
            </w:r>
          </w:p>
          <w:p>
            <w:pPr>
              <w:pStyle w:val="null3"/>
              <w:jc w:val="left"/>
            </w:pPr>
            <w:r>
              <w:rPr>
                <w:rFonts w:ascii="仿宋_GB2312" w:hAnsi="仿宋_GB2312" w:cs="仿宋_GB2312" w:eastAsia="仿宋_GB2312"/>
                <w:sz w:val="20"/>
              </w:rPr>
              <w:t>红萝卜：大而均匀、色泽鲜艳；</w:t>
            </w:r>
          </w:p>
          <w:p>
            <w:pPr>
              <w:pStyle w:val="null3"/>
              <w:jc w:val="left"/>
            </w:pPr>
            <w:r>
              <w:rPr>
                <w:rFonts w:ascii="仿宋_GB2312" w:hAnsi="仿宋_GB2312" w:cs="仿宋_GB2312" w:eastAsia="仿宋_GB2312"/>
                <w:sz w:val="20"/>
              </w:rPr>
              <w:t>豆角：新鲜、折断为实心、无虫；</w:t>
            </w:r>
          </w:p>
          <w:p>
            <w:pPr>
              <w:pStyle w:val="null3"/>
              <w:jc w:val="left"/>
            </w:pPr>
            <w:r>
              <w:rPr>
                <w:rFonts w:ascii="仿宋_GB2312" w:hAnsi="仿宋_GB2312" w:cs="仿宋_GB2312" w:eastAsia="仿宋_GB2312"/>
                <w:sz w:val="20"/>
              </w:rPr>
              <w:t>花菜：洁白而无黑点斑点，箱装则防冻烂；</w:t>
            </w:r>
          </w:p>
          <w:p>
            <w:pPr>
              <w:pStyle w:val="null3"/>
              <w:jc w:val="left"/>
            </w:pPr>
            <w:r>
              <w:rPr>
                <w:rFonts w:ascii="仿宋_GB2312" w:hAnsi="仿宋_GB2312" w:cs="仿宋_GB2312" w:eastAsia="仿宋_GB2312"/>
                <w:sz w:val="20"/>
              </w:rPr>
              <w:t>西兰花：表面蓓蕾平展，无开花现象，无异味臭味，外表如有潮，表色则证明变质；</w:t>
            </w:r>
          </w:p>
          <w:p>
            <w:pPr>
              <w:pStyle w:val="null3"/>
              <w:jc w:val="left"/>
            </w:pPr>
            <w:r>
              <w:rPr>
                <w:rFonts w:ascii="仿宋_GB2312" w:hAnsi="仿宋_GB2312" w:cs="仿宋_GB2312" w:eastAsia="仿宋_GB2312"/>
                <w:sz w:val="20"/>
              </w:rPr>
              <w:t>青瓜：长而直、带刺；</w:t>
            </w:r>
          </w:p>
          <w:p>
            <w:pPr>
              <w:pStyle w:val="null3"/>
              <w:jc w:val="left"/>
            </w:pPr>
            <w:r>
              <w:rPr>
                <w:rFonts w:ascii="仿宋_GB2312" w:hAnsi="仿宋_GB2312" w:cs="仿宋_GB2312" w:eastAsia="仿宋_GB2312"/>
                <w:sz w:val="20"/>
              </w:rPr>
              <w:t>玉米棒：个大，粒满，老嫩适中，防虫咬；</w:t>
            </w:r>
          </w:p>
          <w:p>
            <w:pPr>
              <w:pStyle w:val="null3"/>
              <w:jc w:val="left"/>
            </w:pPr>
            <w:r>
              <w:rPr>
                <w:rFonts w:ascii="仿宋_GB2312" w:hAnsi="仿宋_GB2312" w:cs="仿宋_GB2312" w:eastAsia="仿宋_GB2312"/>
                <w:sz w:val="20"/>
              </w:rPr>
              <w:t>南瓜：金黄色、红心、表皮如有指头大小黑块，则已变质；</w:t>
            </w:r>
          </w:p>
          <w:p>
            <w:pPr>
              <w:pStyle w:val="null3"/>
              <w:jc w:val="left"/>
            </w:pPr>
            <w:r>
              <w:rPr>
                <w:rFonts w:ascii="仿宋_GB2312" w:hAnsi="仿宋_GB2312" w:cs="仿宋_GB2312" w:eastAsia="仿宋_GB2312"/>
                <w:sz w:val="20"/>
              </w:rPr>
              <w:t>生姜：个大、金黄色、无芽、黑色则烂，白色则嫩；</w:t>
            </w:r>
          </w:p>
          <w:p>
            <w:pPr>
              <w:pStyle w:val="null3"/>
              <w:jc w:val="left"/>
            </w:pPr>
            <w:r>
              <w:rPr>
                <w:rFonts w:ascii="仿宋_GB2312" w:hAnsi="仿宋_GB2312" w:cs="仿宋_GB2312" w:eastAsia="仿宋_GB2312"/>
                <w:sz w:val="20"/>
              </w:rPr>
              <w:t>丝瓜：头尾粗细较均匀，拿起有弹力；</w:t>
            </w:r>
          </w:p>
          <w:p>
            <w:pPr>
              <w:pStyle w:val="null3"/>
              <w:jc w:val="left"/>
            </w:pPr>
            <w:r>
              <w:rPr>
                <w:rFonts w:ascii="仿宋_GB2312" w:hAnsi="仿宋_GB2312" w:cs="仿宋_GB2312" w:eastAsia="仿宋_GB2312"/>
                <w:sz w:val="20"/>
              </w:rPr>
              <w:t>西芹：嫩绿色折断无筋，硬而不青；</w:t>
            </w:r>
          </w:p>
          <w:p>
            <w:pPr>
              <w:pStyle w:val="null3"/>
              <w:jc w:val="left"/>
            </w:pPr>
            <w:r>
              <w:rPr>
                <w:rFonts w:ascii="仿宋_GB2312" w:hAnsi="仿宋_GB2312" w:cs="仿宋_GB2312" w:eastAsia="仿宋_GB2312"/>
                <w:sz w:val="20"/>
              </w:rPr>
              <w:t>西红柿：红而不软，硬而不青；</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5)腌菜、泡菜类验收标准：</w:t>
            </w:r>
          </w:p>
          <w:p>
            <w:pPr>
              <w:pStyle w:val="null3"/>
              <w:jc w:val="left"/>
            </w:pPr>
            <w:r>
              <w:rPr>
                <w:rFonts w:ascii="仿宋_GB2312" w:hAnsi="仿宋_GB2312" w:cs="仿宋_GB2312" w:eastAsia="仿宋_GB2312"/>
                <w:sz w:val="20"/>
              </w:rPr>
              <w:t>首次供货提供保证函、每一年至少提供一次当年官方检验报告。符合</w:t>
            </w:r>
            <w:r>
              <w:rPr>
                <w:rFonts w:ascii="仿宋_GB2312" w:hAnsi="仿宋_GB2312" w:cs="仿宋_GB2312" w:eastAsia="仿宋_GB2312"/>
                <w:sz w:val="20"/>
              </w:rPr>
              <w:t>GB2714及GB2760的规定，亚硝酸盐≤20mg/kg;柠檬黄≤0.1mg/kg; 苯甲酸≤0.5g/kg。具有该腌菜、泡菜应有的色泽和气味。无白花、无腐烂、变质、酸臭味。</w:t>
            </w:r>
          </w:p>
          <w:p>
            <w:pPr>
              <w:pStyle w:val="null3"/>
              <w:jc w:val="left"/>
            </w:pPr>
            <w:r>
              <w:rPr>
                <w:rFonts w:ascii="仿宋_GB2312" w:hAnsi="仿宋_GB2312" w:cs="仿宋_GB2312" w:eastAsia="仿宋_GB2312"/>
                <w:sz w:val="20"/>
              </w:rPr>
              <w:t>(6)猪肉类标准：</w:t>
            </w:r>
          </w:p>
          <w:p>
            <w:pPr>
              <w:pStyle w:val="null3"/>
              <w:jc w:val="left"/>
            </w:pPr>
            <w:r>
              <w:rPr>
                <w:rFonts w:ascii="仿宋_GB2312" w:hAnsi="仿宋_GB2312" w:cs="仿宋_GB2312" w:eastAsia="仿宋_GB2312"/>
                <w:sz w:val="20"/>
              </w:rPr>
              <w:t>①猪肉类标准：每批次必须有兽医检疫合格证明，首次供货前提供兽药残留达标、无禁药物保证函，每年提供至少一次当年官方检验报告。符合GB 2707-2016 食品安全国家标准 鲜（冻）畜、禽产品。印章清晰清楚可查。</w:t>
            </w:r>
          </w:p>
          <w:p>
            <w:pPr>
              <w:pStyle w:val="null3"/>
              <w:jc w:val="left"/>
            </w:pPr>
            <w:r>
              <w:rPr>
                <w:rFonts w:ascii="仿宋_GB2312" w:hAnsi="仿宋_GB2312" w:cs="仿宋_GB2312" w:eastAsia="仿宋_GB2312"/>
                <w:sz w:val="20"/>
              </w:rPr>
              <w:t>②猪肉各部位肉的具体标准</w:t>
            </w:r>
          </w:p>
          <w:p>
            <w:pPr>
              <w:pStyle w:val="null3"/>
              <w:jc w:val="left"/>
            </w:pPr>
            <w:r>
              <w:rPr>
                <w:rFonts w:ascii="仿宋_GB2312" w:hAnsi="仿宋_GB2312" w:cs="仿宋_GB2312" w:eastAsia="仿宋_GB2312"/>
                <w:sz w:val="20"/>
              </w:rPr>
              <w:t>五花肉：要新鲜、皮薄、肉质好，不能太肥，一般二指厚为准；</w:t>
            </w:r>
          </w:p>
          <w:p>
            <w:pPr>
              <w:pStyle w:val="null3"/>
              <w:jc w:val="left"/>
            </w:pPr>
            <w:r>
              <w:rPr>
                <w:rFonts w:ascii="仿宋_GB2312" w:hAnsi="仿宋_GB2312" w:cs="仿宋_GB2312" w:eastAsia="仿宋_GB2312"/>
                <w:sz w:val="20"/>
              </w:rPr>
              <w:t>前上肉：五花肉，小里几（腰内肉），梅花肉皆属上肉，不能有淋巴瘤，不带亲腿肉，颜色要好，不能有淤血，猪毛；</w:t>
            </w:r>
          </w:p>
          <w:p>
            <w:pPr>
              <w:pStyle w:val="null3"/>
              <w:jc w:val="left"/>
            </w:pPr>
            <w:r>
              <w:rPr>
                <w:rFonts w:ascii="仿宋_GB2312" w:hAnsi="仿宋_GB2312" w:cs="仿宋_GB2312" w:eastAsia="仿宋_GB2312"/>
                <w:sz w:val="20"/>
              </w:rPr>
              <w:t>后上肉：不能太肥，要瘦肉多，无淋巴瘤，皮无斑点；</w:t>
            </w:r>
          </w:p>
          <w:p>
            <w:pPr>
              <w:pStyle w:val="null3"/>
              <w:jc w:val="left"/>
            </w:pPr>
            <w:r>
              <w:rPr>
                <w:rFonts w:ascii="仿宋_GB2312" w:hAnsi="仿宋_GB2312" w:cs="仿宋_GB2312" w:eastAsia="仿宋_GB2312"/>
                <w:sz w:val="20"/>
              </w:rPr>
              <w:t>后瘦肉：肉色要好，不能有淤血，不能有肥肉、碎骨，表面上不能有发白积水；</w:t>
            </w:r>
          </w:p>
          <w:p>
            <w:pPr>
              <w:pStyle w:val="null3"/>
              <w:jc w:val="left"/>
            </w:pPr>
            <w:r>
              <w:rPr>
                <w:rFonts w:ascii="仿宋_GB2312" w:hAnsi="仿宋_GB2312" w:cs="仿宋_GB2312" w:eastAsia="仿宋_GB2312"/>
                <w:sz w:val="20"/>
              </w:rPr>
              <w:t>肥肉：厚度为三公分，一公寸宽，不要有瘦肉；</w:t>
            </w:r>
          </w:p>
          <w:p>
            <w:pPr>
              <w:pStyle w:val="null3"/>
              <w:jc w:val="left"/>
            </w:pPr>
            <w:r>
              <w:rPr>
                <w:rFonts w:ascii="仿宋_GB2312" w:hAnsi="仿宋_GB2312" w:cs="仿宋_GB2312" w:eastAsia="仿宋_GB2312"/>
                <w:sz w:val="20"/>
              </w:rPr>
              <w:t>(7)牛肉类标准</w:t>
            </w:r>
          </w:p>
          <w:p>
            <w:pPr>
              <w:pStyle w:val="null3"/>
              <w:jc w:val="left"/>
            </w:pPr>
            <w:r>
              <w:rPr>
                <w:rFonts w:ascii="仿宋_GB2312" w:hAnsi="仿宋_GB2312" w:cs="仿宋_GB2312" w:eastAsia="仿宋_GB2312"/>
                <w:sz w:val="20"/>
              </w:rPr>
              <w:t>①每批次必须有兽医检疫合格证明，首次供货前提供兽药残留达标、无禁用药物保证函，每年提供至少一次当年官方检验报告，符合GB 2707-2016 食品安全国家标准 鲜（冻）畜、禽产品。印章清晰清楚可查。</w:t>
            </w:r>
          </w:p>
          <w:p>
            <w:pPr>
              <w:pStyle w:val="null3"/>
              <w:jc w:val="left"/>
            </w:pPr>
            <w:r>
              <w:rPr>
                <w:rFonts w:ascii="仿宋_GB2312" w:hAnsi="仿宋_GB2312" w:cs="仿宋_GB2312" w:eastAsia="仿宋_GB2312"/>
                <w:sz w:val="20"/>
              </w:rPr>
              <w:t>②牛肉各部位标准</w:t>
            </w:r>
          </w:p>
          <w:p>
            <w:pPr>
              <w:pStyle w:val="null3"/>
              <w:jc w:val="left"/>
            </w:pPr>
            <w:r>
              <w:rPr>
                <w:rFonts w:ascii="仿宋_GB2312" w:hAnsi="仿宋_GB2312" w:cs="仿宋_GB2312" w:eastAsia="仿宋_GB2312"/>
                <w:sz w:val="20"/>
              </w:rPr>
              <w:t>瘦牛肉：呈均匀的鲜红色或深红色、有光泽；</w:t>
            </w:r>
          </w:p>
          <w:p>
            <w:pPr>
              <w:pStyle w:val="null3"/>
              <w:jc w:val="left"/>
            </w:pPr>
            <w:r>
              <w:rPr>
                <w:rFonts w:ascii="仿宋_GB2312" w:hAnsi="仿宋_GB2312" w:cs="仿宋_GB2312" w:eastAsia="仿宋_GB2312"/>
                <w:sz w:val="20"/>
              </w:rPr>
              <w:t>脂肪：呈乳白色或微黄色，具有牛肉正常气味，无异味，瘦肉切面纹理清晰，皮下脂肪适度、均匀、形态丰满；肉质紧密、有弹性、表面湿润、不黏手、无煮水；</w:t>
            </w:r>
          </w:p>
          <w:p>
            <w:pPr>
              <w:pStyle w:val="null3"/>
              <w:jc w:val="left"/>
            </w:pPr>
            <w:r>
              <w:rPr>
                <w:rFonts w:ascii="仿宋_GB2312" w:hAnsi="仿宋_GB2312" w:cs="仿宋_GB2312" w:eastAsia="仿宋_GB2312"/>
                <w:sz w:val="20"/>
              </w:rPr>
              <w:t>牛腩：色泽新鲜、无杂质、无异味、无注水。</w:t>
            </w:r>
          </w:p>
          <w:p>
            <w:pPr>
              <w:pStyle w:val="null3"/>
              <w:jc w:val="left"/>
            </w:pPr>
            <w:r>
              <w:rPr>
                <w:rFonts w:ascii="仿宋_GB2312" w:hAnsi="仿宋_GB2312" w:cs="仿宋_GB2312" w:eastAsia="仿宋_GB2312"/>
                <w:sz w:val="20"/>
              </w:rPr>
              <w:t>(8)畜禽类验收标准</w:t>
            </w:r>
          </w:p>
          <w:p>
            <w:pPr>
              <w:pStyle w:val="null3"/>
              <w:jc w:val="left"/>
            </w:pPr>
            <w:r>
              <w:rPr>
                <w:rFonts w:ascii="仿宋_GB2312" w:hAnsi="仿宋_GB2312" w:cs="仿宋_GB2312" w:eastAsia="仿宋_GB2312"/>
                <w:sz w:val="20"/>
              </w:rPr>
              <w:t>①每批次必须有兽医检疫合格证明，首次供货前提供兽药残留达标、无禁用药物保证函，每年提供至少一次当年官方检验报告。符合GB 2707-2016《食品安全国家标准 鲜（冻）畜、禽产品》的相关要求。印章清晰清楚可查。</w:t>
            </w:r>
          </w:p>
          <w:p>
            <w:pPr>
              <w:pStyle w:val="null3"/>
              <w:jc w:val="left"/>
            </w:pPr>
            <w:r>
              <w:rPr>
                <w:rFonts w:ascii="仿宋_GB2312" w:hAnsi="仿宋_GB2312" w:cs="仿宋_GB2312" w:eastAsia="仿宋_GB2312"/>
                <w:sz w:val="20"/>
              </w:rPr>
              <w:t>②畜禽类肉的具体标准：外观新鲜肉色泽光润，肉的断面呈淡红色，稍湿润，但不粘，肉的液体透明；硬度新鲜肉的刀断面，肉质紧密、富有弹性，用手按后能迅速恢复原状，气味新鲜肉具有每种家畜肉的特有气味；脂肪新鲜肉的脂肪分布均匀，没有酸败和臭味，并保持原有色泽。</w:t>
            </w:r>
          </w:p>
          <w:p>
            <w:pPr>
              <w:pStyle w:val="null3"/>
              <w:jc w:val="left"/>
            </w:pPr>
            <w:r>
              <w:rPr>
                <w:rFonts w:ascii="仿宋_GB2312" w:hAnsi="仿宋_GB2312" w:cs="仿宋_GB2312" w:eastAsia="仿宋_GB2312"/>
                <w:sz w:val="20"/>
              </w:rPr>
              <w:t>(9)禽蛋类标准</w:t>
            </w:r>
          </w:p>
          <w:p>
            <w:pPr>
              <w:pStyle w:val="null3"/>
              <w:jc w:val="left"/>
            </w:pPr>
            <w:r>
              <w:rPr>
                <w:rFonts w:ascii="仿宋_GB2312" w:hAnsi="仿宋_GB2312" w:cs="仿宋_GB2312" w:eastAsia="仿宋_GB2312"/>
                <w:sz w:val="20"/>
              </w:rPr>
              <w:t>蛋外壳有霜状粉末，壳表面比较粗糙，但有光泽；用光照，能透光，呈桔红色，气室小而透亮，蛋黄轮廓，将蛋轻轻摇动，听不到声音或感觉不到振动的为新鲜蛋。</w:t>
            </w:r>
          </w:p>
          <w:p>
            <w:pPr>
              <w:pStyle w:val="null3"/>
              <w:jc w:val="left"/>
            </w:pPr>
            <w:r>
              <w:rPr>
                <w:rFonts w:ascii="仿宋_GB2312" w:hAnsi="仿宋_GB2312" w:cs="仿宋_GB2312" w:eastAsia="仿宋_GB2312"/>
                <w:sz w:val="20"/>
              </w:rPr>
              <w:t>鱼类等产品质量鉴定标准：</w:t>
            </w:r>
          </w:p>
          <w:p>
            <w:pPr>
              <w:pStyle w:val="null3"/>
              <w:jc w:val="left"/>
            </w:pPr>
            <w:r>
              <w:rPr>
                <w:rFonts w:ascii="仿宋_GB2312" w:hAnsi="仿宋_GB2312" w:cs="仿宋_GB2312" w:eastAsia="仿宋_GB2312"/>
                <w:sz w:val="20"/>
              </w:rPr>
              <w:t>①首次供货前提供保证函、每一年至少提供一次当年官方检验报告。符合GB 2733-2015 食品安全国家标准 鲜、冻动物性水产品，检验合格服务商名录；来源于合格服务商。</w:t>
            </w:r>
          </w:p>
          <w:p>
            <w:pPr>
              <w:pStyle w:val="null3"/>
              <w:jc w:val="left"/>
            </w:pPr>
            <w:r>
              <w:rPr>
                <w:rFonts w:ascii="仿宋_GB2312" w:hAnsi="仿宋_GB2312" w:cs="仿宋_GB2312" w:eastAsia="仿宋_GB2312"/>
                <w:sz w:val="20"/>
              </w:rPr>
              <w:t>②鲜鱼类眼睛凸起，澄清有光泽；不新鲜的鱼眼睛凹陷，色泽浑浊不清，呈微蓝色；鱼鳃紧闭，鳃片呈鲜红色，无粘液和污物；鳞片整齐，排列紧密，有黏液和光泽，轮层明显；</w:t>
            </w:r>
          </w:p>
          <w:p>
            <w:pPr>
              <w:pStyle w:val="null3"/>
              <w:jc w:val="left"/>
            </w:pPr>
            <w:r>
              <w:rPr>
                <w:rFonts w:ascii="仿宋_GB2312" w:hAnsi="仿宋_GB2312" w:cs="仿宋_GB2312" w:eastAsia="仿宋_GB2312"/>
                <w:sz w:val="20"/>
              </w:rPr>
              <w:t>③虾类虾头尾完整，有一定的弯曲度、虾身较挺、虾皮壳发亮，呈青白色，新鲜虾肉质坚实、细嫩；</w:t>
            </w:r>
          </w:p>
          <w:p>
            <w:pPr>
              <w:pStyle w:val="null3"/>
              <w:jc w:val="left"/>
            </w:pPr>
            <w:r>
              <w:rPr>
                <w:rFonts w:ascii="仿宋_GB2312" w:hAnsi="仿宋_GB2312" w:cs="仿宋_GB2312" w:eastAsia="仿宋_GB2312"/>
                <w:sz w:val="20"/>
              </w:rPr>
              <w:t>④虾仁必须冰冻，而保持其新鲜程度。冻虾仁的外包装完整、清洁。</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干货类标准</w:t>
            </w:r>
          </w:p>
          <w:p>
            <w:pPr>
              <w:pStyle w:val="null3"/>
              <w:jc w:val="left"/>
            </w:pPr>
            <w:r>
              <w:rPr>
                <w:rFonts w:ascii="仿宋_GB2312" w:hAnsi="仿宋_GB2312" w:cs="仿宋_GB2312" w:eastAsia="仿宋_GB2312"/>
                <w:sz w:val="20"/>
              </w:rPr>
              <w:t>干爽、不霉烂、整齐、均匀、完整无虫蛀、无杂质、保持应有的色泽；</w:t>
            </w:r>
          </w:p>
          <w:p>
            <w:pPr>
              <w:pStyle w:val="null3"/>
              <w:jc w:val="left"/>
            </w:pPr>
            <w:r>
              <w:rPr>
                <w:rFonts w:ascii="仿宋_GB2312" w:hAnsi="仿宋_GB2312" w:cs="仿宋_GB2312" w:eastAsia="仿宋_GB2312"/>
                <w:sz w:val="20"/>
              </w:rPr>
              <w:t>(12)稻米、面粉、淀粉标准</w:t>
            </w:r>
          </w:p>
          <w:p>
            <w:pPr>
              <w:pStyle w:val="null3"/>
              <w:jc w:val="left"/>
            </w:pPr>
            <w:r>
              <w:rPr>
                <w:rFonts w:ascii="仿宋_GB2312" w:hAnsi="仿宋_GB2312" w:cs="仿宋_GB2312" w:eastAsia="仿宋_GB2312"/>
                <w:sz w:val="20"/>
              </w:rPr>
              <w:t>①符合GB2715-2016食品安全国家标准 粮食及GB/T 1355-2021 小麦粉标准。面粉的品质标准：面粉含水量在12-13%之间，有正常气味，颜色较淡。</w:t>
            </w:r>
          </w:p>
          <w:p>
            <w:pPr>
              <w:pStyle w:val="null3"/>
              <w:jc w:val="left"/>
            </w:pPr>
            <w:r>
              <w:rPr>
                <w:rFonts w:ascii="仿宋_GB2312" w:hAnsi="仿宋_GB2312" w:cs="仿宋_GB2312" w:eastAsia="仿宋_GB2312"/>
                <w:sz w:val="20"/>
              </w:rPr>
              <w:t>②稻米的质量检验标准：有清香味和光泽、无米糠和其它杂质、无虫草害无异味、无霉味，用手摸时滑爽、干燥；米粒形均匀、整齐、重量大，没有碎米和爆腰米；没有腹白的米。</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定型包装类食品标准</w:t>
            </w:r>
          </w:p>
          <w:p>
            <w:pPr>
              <w:pStyle w:val="null3"/>
              <w:jc w:val="left"/>
            </w:pPr>
            <w:r>
              <w:rPr>
                <w:rFonts w:ascii="仿宋_GB2312" w:hAnsi="仿宋_GB2312" w:cs="仿宋_GB2312" w:eastAsia="仿宋_GB2312"/>
                <w:sz w:val="20"/>
              </w:rPr>
              <w:t>凡是带有包装的食品，其质量卫生标准除符合国家规定的质量卫生标准外，还应包括以下方面：包装类食品必须包装整洁、完美；包装食品其包装盒或标签上须注明食品名称、生产厂家、生产地址、生产日期、保质期；包装食品的内容和重量必须和包装上标明的完全一致。</w:t>
            </w:r>
          </w:p>
          <w:p>
            <w:pPr>
              <w:pStyle w:val="null3"/>
              <w:jc w:val="left"/>
            </w:pPr>
            <w:r>
              <w:rPr>
                <w:rFonts w:ascii="仿宋_GB2312" w:hAnsi="仿宋_GB2312" w:cs="仿宋_GB2312" w:eastAsia="仿宋_GB2312"/>
                <w:sz w:val="20"/>
              </w:rPr>
              <w:t>(14)冻品类的标准</w:t>
            </w:r>
          </w:p>
          <w:p>
            <w:pPr>
              <w:pStyle w:val="null3"/>
              <w:jc w:val="left"/>
            </w:pPr>
            <w:r>
              <w:rPr>
                <w:rFonts w:ascii="仿宋_GB2312" w:hAnsi="仿宋_GB2312" w:cs="仿宋_GB2312" w:eastAsia="仿宋_GB2312"/>
                <w:sz w:val="20"/>
              </w:rPr>
              <w:t>①首次供货前提供保证函、每一年至少提供一次当年官方检验报告。符合GB 2707-2016 食品安全国家标准 鲜（冻）畜、禽产品。查验合格服务商名录，来源于合格服务商。</w:t>
            </w:r>
          </w:p>
          <w:p>
            <w:pPr>
              <w:pStyle w:val="null3"/>
              <w:jc w:val="left"/>
            </w:pPr>
            <w:r>
              <w:rPr>
                <w:rFonts w:ascii="仿宋_GB2312" w:hAnsi="仿宋_GB2312" w:cs="仿宋_GB2312" w:eastAsia="仿宋_GB2312"/>
                <w:sz w:val="20"/>
              </w:rPr>
              <w:t>②按照冻品的共同特征，凡是冻肉类产品必须包装完整并有生产厂址和生产日期；冻肉类产品中冻肉和冻助排必须有产品卫生检疫标准；冻肉类产品质量必须合乎验收标准（如新鲜度等）；冻肉类产品中间不能有过多冰块、冻肉类产品重量必须和包装箱上标明的重量一致。</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食用油脂的种类及鉴别标准</w:t>
            </w:r>
          </w:p>
          <w:p>
            <w:pPr>
              <w:pStyle w:val="null3"/>
              <w:jc w:val="left"/>
            </w:pPr>
            <w:r>
              <w:rPr>
                <w:rFonts w:ascii="仿宋_GB2312" w:hAnsi="仿宋_GB2312" w:cs="仿宋_GB2312" w:eastAsia="仿宋_GB2312"/>
                <w:sz w:val="20"/>
              </w:rPr>
              <w:t>首次供货前提供保证函、每一年至少提供一次当年官方检验报告。符合</w:t>
            </w:r>
            <w:r>
              <w:rPr>
                <w:rFonts w:ascii="仿宋_GB2312" w:hAnsi="仿宋_GB2312" w:cs="仿宋_GB2312" w:eastAsia="仿宋_GB2312"/>
                <w:sz w:val="20"/>
              </w:rPr>
              <w:t>GB 2716-2018</w:t>
            </w:r>
            <w:r>
              <w:rPr>
                <w:rFonts w:ascii="仿宋_GB2312" w:hAnsi="仿宋_GB2312" w:cs="仿宋_GB2312" w:eastAsia="仿宋_GB2312"/>
                <w:sz w:val="20"/>
              </w:rPr>
              <w:t>食用植物油卫生标准，及</w:t>
            </w:r>
            <w:r>
              <w:rPr>
                <w:rFonts w:ascii="仿宋_GB2312" w:hAnsi="仿宋_GB2312" w:cs="仿宋_GB2312" w:eastAsia="仿宋_GB2312"/>
                <w:sz w:val="20"/>
              </w:rPr>
              <w:t>GB 10146-2015 食品安全国家标准 食用动物油脂。检合格服务商名录，来源于合格服务商。</w:t>
            </w:r>
          </w:p>
          <w:p>
            <w:pPr>
              <w:pStyle w:val="null3"/>
              <w:jc w:val="left"/>
            </w:pPr>
            <w:r>
              <w:rPr>
                <w:rFonts w:ascii="仿宋_GB2312" w:hAnsi="仿宋_GB2312" w:cs="仿宋_GB2312" w:eastAsia="仿宋_GB2312"/>
                <w:sz w:val="20"/>
              </w:rPr>
              <w:t>(16)其他未明确的原材料采购标准，按采购人要求标准采购。</w:t>
            </w:r>
          </w:p>
          <w:p>
            <w:pPr>
              <w:pStyle w:val="null3"/>
              <w:jc w:val="left"/>
            </w:pPr>
            <w:r>
              <w:rPr>
                <w:rFonts w:ascii="仿宋_GB2312" w:hAnsi="仿宋_GB2312" w:cs="仿宋_GB2312" w:eastAsia="仿宋_GB2312"/>
                <w:sz w:val="20"/>
                <w:b/>
              </w:rPr>
              <w:t>（四）人员编制组织架构与考核管理办法</w:t>
            </w:r>
          </w:p>
          <w:p>
            <w:pPr>
              <w:pStyle w:val="null3"/>
              <w:jc w:val="left"/>
            </w:pPr>
            <w:r>
              <w:rPr>
                <w:rFonts w:ascii="仿宋_GB2312" w:hAnsi="仿宋_GB2312" w:cs="仿宋_GB2312" w:eastAsia="仿宋_GB2312"/>
                <w:sz w:val="20"/>
                <w:b/>
              </w:rPr>
              <w:t>1.岗位编制说明</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1）根据本项目管理的实际需求设置组织架构，确定人员编制；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2）根据人员编制及市场劳动力状况测算及调整项目人工成本；</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3）制定人员到岗计划，并按计划实施管理人员的调配和员工的招聘；</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4）制定整体培训计划，并按计划完成培训；</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5）制定员工绩效考核办法，定期进行考评，奖优汰劣；</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6）制定薪酬福利管理体系；</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7）制定行政管理及人力资源管理各项规章制度；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8）建立劳动关系管理体系;</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9）确保项目的整体正常运作，并及时与客户进行沟通和反馈，满足需求；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10）严格执行采购制度、流程，并做好库房管理工作；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11）招聘有素质人员，所有人员要求必须持有健康证后方可上岗，完成人力保障工作；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12）依照各部门的工作流程和标准，对项目内部进行自查自纠工作；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13）安排和检查各部门人员员工培训，积极安排和检查相关培训落实情况；</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14）做好各部门做好年度 KPI 制定和检查考核工作，确保项目整体服务品质。</w:t>
            </w:r>
          </w:p>
          <w:p>
            <w:pPr>
              <w:pStyle w:val="null3"/>
              <w:jc w:val="both"/>
            </w:pPr>
            <w:r>
              <w:rPr>
                <w:rFonts w:ascii="仿宋_GB2312" w:hAnsi="仿宋_GB2312" w:cs="仿宋_GB2312" w:eastAsia="仿宋_GB2312"/>
                <w:sz w:val="20"/>
                <w:b/>
              </w:rPr>
              <w:t>2.人员编制组织架构</w:t>
            </w:r>
          </w:p>
          <w:tbl>
            <w:tblPr>
              <w:tblInd w:type="dxa" w:w="120"/>
              <w:tblBorders>
                <w:top w:val="none" w:color="000000" w:sz="4"/>
                <w:left w:val="none" w:color="000000" w:sz="4"/>
                <w:bottom w:val="none" w:color="000000" w:sz="4"/>
                <w:right w:val="none" w:color="000000" w:sz="4"/>
                <w:insideH w:val="none"/>
                <w:insideV w:val="none"/>
              </w:tblBorders>
            </w:tblPr>
            <w:tblGrid>
              <w:gridCol w:w="315"/>
              <w:gridCol w:w="353"/>
              <w:gridCol w:w="328"/>
              <w:gridCol w:w="1548"/>
            </w:tblGrid>
            <w:tr>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部门</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拟担任的职务</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定编</w:t>
                  </w:r>
                </w:p>
                <w:p>
                  <w:pPr>
                    <w:pStyle w:val="null3"/>
                    <w:jc w:val="both"/>
                  </w:pPr>
                  <w:r>
                    <w:rPr>
                      <w:rFonts w:ascii="仿宋_GB2312" w:hAnsi="仿宋_GB2312" w:cs="仿宋_GB2312" w:eastAsia="仿宋_GB2312"/>
                      <w:sz w:val="20"/>
                      <w:b/>
                    </w:rPr>
                    <w:t>人数</w:t>
                  </w:r>
                </w:p>
              </w:tc>
              <w:tc>
                <w:tcPr>
                  <w:tcW w:type="dxa" w:w="1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rFonts w:ascii="仿宋_GB2312" w:hAnsi="仿宋_GB2312" w:cs="仿宋_GB2312" w:eastAsia="仿宋_GB2312"/>
                      <w:sz w:val="20"/>
                      <w:b/>
                    </w:rPr>
                    <w:t>岗位职责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后厨</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厨师长兼炒锅</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负责项目所有人员调配及厨房各项管理事务，负责每周菜单订制、食品安全及出品质量管理及大厨工作等</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后厨</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面点厨师</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负责每餐面点和主食的制作及出品</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后厨</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切配、帮厨</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负责协助厨师每日餐品加工的一切辅助工作、每所有菜品的粗加工及切配工作</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前厅</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客服</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负责餐厅开餐前准备工作，传菜售餐工作，餐后保洁工作</w:t>
                  </w:r>
                </w:p>
              </w:tc>
            </w:tr>
            <w:tr>
              <w:tc>
                <w:tcPr>
                  <w:tcW w:type="dxa" w:w="6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根据技术参数与性能指标配备相应人数，确保项目顺利实施。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根据技术参数与性能指标配备相应人数，确保项目顺利实施。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食品质量按照《中华人民共和国食品安全法》《中华人民共和国产品质量法》《中华人民共和国家农产品质量安全法》保证食品质量。提供的食品必须符合上述法律法规的规定或国家或行业现行规定的相关标准。 验收：符合国家和行业制定的相应的标准和规范；原材料验收由采购单位业务管理方、承包方，双方现场检验，对供应产品的质量无异议数量准确无误后，双方签字，各自留存。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按月支付。每月由乙方提供完税发票后，甲方在收到乙方发票后支付上月服务费。在服务期内总结算金额不超过预算金额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因执行合同所发生的或与合同有关的一切争议,双方应通过友好协商解决。如果协商开始后六十（60）天还不能解决，可向甲方所在地有管辖权的人民法院提起诉讼。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费用包括但不限于人工费（基本薪资、补贴及相关福利、节假日补助、交通费、住宿费、社保费、保险（含人身意外险））、管理费、人员服装费、食材配送费、招标代理费、利润、税金、风险及完成验收阶段等所需的全部费用。任何错报、漏报由供应商自行负责。 2.成交供应商在采购结果发布后3个工作日内向代理机构提交纸质版响应文件以便于存档，响应文件正本1份，副本2份，电子版文件2份（以U盘为载体，电子版文件须提供签字盖章齐全的响应文件 PDF 扫描件，内容、格式及信息均须与系统上传文件保持完全一致）。纸质响应文件均须A4纸打印，分别各自装订成册并编制目录和页码。 3.线下递交响应文件地点：西安市雁塔区科技二路71号竹园·天寰国际1107室。 4.如磋商文件中融资相关内容与新政策要求有出入，按照最新要求执行。 5.依据西安市财政局《关于印发〈西安市预算单位政府采购主体责任清单〉的通知》（市财函〔2026〕123 号）相关要求，采购人与中标（成交）供应商应在中标（成交）通知书发出之日起 25 日内签订政府采购合同。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一般资格要求及特殊资格要求.docx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供应商不得为“信用中国”、“中国政府采购网”、“中国执行信息公开网”中被列入重大税收违法失信主体名单、政府采购严重违法失信行为记录名单、失信被执行人名单的供应商。</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需提供以下三种资料中的任意一种：①2024或2025年度经审计的完整财务报告，供应商提供的财务审计报告应当赋码，可通过注册会计师行业统一监管平台(http://acc.mof.gov.cn)进行查验；②响应文件递交截止时间前三个月内其基本开户银行出具的资信证明；③财政部门认可的政府采购专业担保机构出具的投标担保函。 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提供自2025年3月1日以来已缴存的任意1个月的社会保障资金缴存单据或社保机构开具的社会保险参保缴费情况证明；依法不需要缴纳社会保障资金的供应商应提供相关证明文件。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提供自2025年3月1日以来已缴纳的任意1个月的依法缴纳税收的相关凭据(时间以税款所属日期为准)，凭据应有税务机关或代收机关的公章或业务专用章；依法免税或无须缴纳税收的供应商，应提供相应证明文件。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提供具有履行合同所必需的设备和专业技术能力的书面承诺：提供承诺函，加盖供应商公章。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一般资格要求及特殊资格要求.docx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供应商须具有《食品经营许可证》。</w:t>
            </w:r>
          </w:p>
        </w:tc>
        <w:tc>
          <w:tcPr>
            <w:tcW w:type="dxa" w:w="1661"/>
          </w:tcPr>
          <w:p>
            <w:pPr>
              <w:pStyle w:val="null3"/>
            </w:pPr>
            <w:r>
              <w:rPr>
                <w:rFonts w:ascii="仿宋_GB2312" w:hAnsi="仿宋_GB2312" w:cs="仿宋_GB2312" w:eastAsia="仿宋_GB2312"/>
              </w:rPr>
              <w:t>一般资格要求及特殊资格要求.docx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 符合磋商文件签署盖章要求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业绩一览表.docx 中小企业声明函 商务要求应答表.docx 其他材料及供应商认为有必要说明、阐述的事项.docx 响应文件封面 一般资格要求及特殊资格要求.docx 残疾人福利性单位声明函 标的清单 服务内容及服务要求应答表.docx 响应函 陕西省政府采购供应商拒绝政府采购领域商业贿赂承诺书.docx 监狱企业的证明文件 总服务方案.docx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业绩一览表.docx 中小企业声明函 商务要求应答表.docx 其他材料及供应商认为有必要说明、阐述的事项.docx 响应文件封面 一般资格要求及特殊资格要求.docx 残疾人福利性单位声明函 标的清单 服务内容及服务要求应答表.docx 响应函 陕西省政府采购供应商拒绝政府采购领域商业贿赂承诺书.docx 监狱企业的证明文件 总服务方案.docx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针对于项目服务对象和项目特点分析，制定适餐厅的服务理念、服务目标和服务内容提供相对应的方案进行赋分。 1.提供方案完整，项目理解透彻，服务理念、目标明确，可实施性强，得5分; 2.提供方案较完整，对项目基本理解，服务理念和服务目标清晰，可实施性较强，得3分; 3.提供方案存在漏洞，对项目理解不清晰，服务理念和服务目标不全面，可实施性不强，得2分; 4.未提供方案，不得分。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供餐运营方案</w:t>
            </w:r>
          </w:p>
        </w:tc>
        <w:tc>
          <w:tcPr>
            <w:tcW w:type="dxa" w:w="2492"/>
          </w:tcPr>
          <w:p>
            <w:pPr>
              <w:pStyle w:val="null3"/>
            </w:pPr>
            <w:r>
              <w:rPr>
                <w:rFonts w:ascii="仿宋_GB2312" w:hAnsi="仿宋_GB2312" w:cs="仿宋_GB2312" w:eastAsia="仿宋_GB2312"/>
              </w:rPr>
              <w:t>根据采购人需求，供应商提供供餐运营方案，针对供餐运营方案（包括但不限于①厨务操作；②餐厅运营规章制度；③餐厅运营相关人员奖惩措施等）进行赋分。 以上内容完整、不存在瑕疵，得6分；每缺一项扣2分，存在瑕疵的一项扣1分，扣完为止。（本项所指“瑕疵”是存在项目信息错误、明显劣于其他供应商、方案内容矛盾、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卫生管理措施及检查措施</w:t>
            </w:r>
          </w:p>
        </w:tc>
        <w:tc>
          <w:tcPr>
            <w:tcW w:type="dxa" w:w="2492"/>
          </w:tcPr>
          <w:p>
            <w:pPr>
              <w:pStyle w:val="null3"/>
            </w:pPr>
            <w:r>
              <w:rPr>
                <w:rFonts w:ascii="仿宋_GB2312" w:hAnsi="仿宋_GB2312" w:cs="仿宋_GB2312" w:eastAsia="仿宋_GB2312"/>
              </w:rPr>
              <w:t>根据供应商针对本项目的卫生管理措施和检查措施（包括但不限于①餐厅环境卫生管理及检查；②餐具卫生管理及检查；③后厨卫生管理及检查；④食物储存卫生管理及检查；⑤从业人员个人卫生管理及检查；⑥检查登记情况等）按其响应程度进行综合赋分。 以上内容完整、不存在瑕疵，得12分；每缺一项扣2分，存在瑕疵的一项扣1分，扣完为止。（本项所指“瑕疵”是存在项目信息错误、明显劣于其他供应商、方案内容矛盾、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日常管理应急方案</w:t>
            </w:r>
          </w:p>
        </w:tc>
        <w:tc>
          <w:tcPr>
            <w:tcW w:type="dxa" w:w="2492"/>
          </w:tcPr>
          <w:p>
            <w:pPr>
              <w:pStyle w:val="null3"/>
            </w:pPr>
            <w:r>
              <w:rPr>
                <w:rFonts w:ascii="仿宋_GB2312" w:hAnsi="仿宋_GB2312" w:cs="仿宋_GB2312" w:eastAsia="仿宋_GB2312"/>
              </w:rPr>
              <w:t>根据突发情况处置，（包含但不限于：①停水、停电、停气应急预案；②食物中毒应急预案；③消防安全突发事件应急预案；④突发性的接待、活动、考察等导致用餐人数增多等情况等），按其响应程度进行综合赋分。 以上内容完整、不存在瑕疵，得8分；每缺一项扣2分，存在瑕疵的一项扣1分，扣完为止。（本项所指“瑕疵”是存在项目信息错误、明显劣于其他供应商、方案内容矛盾、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食品质量控制方案和保证措施</w:t>
            </w:r>
          </w:p>
        </w:tc>
        <w:tc>
          <w:tcPr>
            <w:tcW w:type="dxa" w:w="2492"/>
          </w:tcPr>
          <w:p>
            <w:pPr>
              <w:pStyle w:val="null3"/>
            </w:pPr>
            <w:r>
              <w:rPr>
                <w:rFonts w:ascii="仿宋_GB2312" w:hAnsi="仿宋_GB2312" w:cs="仿宋_GB2312" w:eastAsia="仿宋_GB2312"/>
              </w:rPr>
              <w:t>根据供应商食品质量控制方案和保证措施（包括但不限于①生产加工环节；②验收保管；③产品检验及食品安全若未达标等问题的保障措施和处罚办法等）进行综合赋分。 以上内容完整、不存在瑕疵，得9分；每缺一项扣3分，存在瑕疵的一项扣1分，扣完为止。（本项所指“瑕疵”是存在项目信息错误、明显劣于其他供应商、方案内容矛盾、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根据各供应商针对本项目的管理服务措施，具有规范的管理服务流程（包括但不限于：①内部管理架构；②财务管理；③绩效考核管理；④食品安全管理；⑤配餐要求管理；⑥物资采购管理；⑦餐饮质量管理；⑧文明服务等管理体系制度等），按其响应程度进行综合赋分。 以上内容完整、不存在瑕疵，得16分；每缺一项扣2分，存在瑕疵的一项扣1分，扣完为止。（本项所指“瑕疵”是存在项目信息错误、明显劣于其他供应商、方案内容矛盾、与项目需求不匹配及其他不利于项目实施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针对本项目提供合理、有效的成本控制方案，有利于降低经营风险，提高经济效益，确保项目顺利实施（包括但不限于①问题分析；②具体措施；③最终目标）等方面，按其响应程度进行综合赋分。 以上内容完整、不存在瑕疵，得6分；每缺一项扣2分，存在瑕疵的一项扣1分，扣完为止。（本项所指“瑕疵”是存在项目信息错误、明显劣于其他供应商、方案内容矛盾、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根据各供应商在满足采购文件要求以及本项目人员组织的基础上，制定具体的人员配备方案（包括但不限于①人员岗位职责；②人员组成；③人员管理制度；④相关奖惩措施；⑤人员的从业资格证、健康证等证明材料）等方面，按其响应程度进行综合赋分。 以上内容完整、不存在瑕疵，得10分；每缺一项扣2分，存在瑕疵的一项扣1分，扣完为止。（本项所指“瑕疵”是存在项目信息错误、明显劣于其他供应商、方案内容矛盾、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实际情况提供服务承诺（包括但不限于①食品安全承诺；②消防安全承诺；③餐厅环境卫生承诺；④依法用工承诺；⑤厨房设备安全运行承诺；⑥餐品保障承诺等。）每提供一项服务承诺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为提升服务质量，确保拟派项目服务团队人员的专业技能，提供人员培训计划和培训方案。 ①培训计划完善、具体，培训方案层次清晰，培训内容全面、切合实际，有利于提升服务质量，得6分； ②培训计划较完善、具体，培训方案层次较清晰，培训内容较全面、实际，较利于提升服务质量，得4分； ③培训计划基本完善，培训方案层次基本清晰，培训内容未切合实际，不利于提升服务质量，得2分； ④未提供方案，不得分。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供应商提供自2023年1月1日以来（以合同签订时间为准）类似项目业绩，每提供1份合同得2分，最高得6分。 注：以合同复印件加盖公章为准。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详见附件：一般资格要求及特殊资格要求.docx</w:t>
      </w:r>
    </w:p>
    <w:p>
      <w:pPr>
        <w:pStyle w:val="null3"/>
        <w:ind w:firstLine="960"/>
      </w:pPr>
      <w:r>
        <w:rPr>
          <w:rFonts w:ascii="仿宋_GB2312" w:hAnsi="仿宋_GB2312" w:cs="仿宋_GB2312" w:eastAsia="仿宋_GB2312"/>
        </w:rPr>
        <w:t>详见附件：总服务方案.docx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