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版本号：ZHPM-ZC-2600620260327001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西安市小寨区域海绵城市PPP项目绩效评价咨询服务项目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ZHPM-ZC-26006</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西安市小寨区域海绵城市PPP项目绩效评价咨询服务项目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西安市小寨区域海绵城市PPP项目绩效评价咨询服务项目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依据中、省、市政府和社会资本合作（PPP）项目绩效管理相关规定及小寨区域海绵城市PPP项目运营期绩效评价工作方案，协助实施机构开展季度（4次）和年度（1次）运营期绩效评价工作，完成评价报告，核算政府支出。其中年度考核可以和季度考核同步开展；每月不定期开展临时考核，整理当月临时考核情况报告报实施机构，并督促项目公司整改问题；并提供PPP项目政策咨询等其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采购包1（西安市小寨区域海绵城市PPP项目绩效评价咨询服务项目）：属于专门面向中小企业采购。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1、法定代表人身份证明或法定代表人授权书：法定代表人直接参加磋商，须提供法定代表人身份证明及身份证复印件；授权代表参与磋商，须提供法定代表人授权书（附法定代表人、被授权人身份证复印件）。</w:t>
      </w:r>
    </w:p>
    <w:p>
      <w:pPr>
        <w:pStyle w:val="null3"/>
      </w:pPr>
      <w:r>
        <w:rPr>
          <w:rFonts w:ascii="仿宋_GB2312" w:hAnsi="仿宋_GB2312" w:cs="仿宋_GB2312" w:eastAsia="仿宋_GB2312"/>
        </w:rPr>
        <w:t>2、不接受联合体磋商：本项目不接受联合体磋商。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029-61328861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西安市高新区丈八街办团结南路35号高新新天地2号楼2402室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杨小倩、张小怡、齐涛、张莉莉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029-87303582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计算方法计取。 开户名称：中昊项目管理有限公司 开户银行：中国民生银行股份有限公司西安枫林绿洲支行 账号:160927203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服务合同及附件文本； 磋商文件、 响应文件； 国家相应的标准、 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联系人：杨小倩、张小怡、齐涛、张莉莉</w:t>
      </w:r>
    </w:p>
    <w:p>
      <w:pPr>
        <w:pStyle w:val="null3"/>
      </w:pPr>
      <w:r>
        <w:rPr>
          <w:rFonts w:ascii="仿宋_GB2312" w:hAnsi="仿宋_GB2312" w:cs="仿宋_GB2312" w:eastAsia="仿宋_GB2312"/>
        </w:rPr>
        <w:t>联系电话：029-87303582</w:t>
      </w:r>
    </w:p>
    <w:p>
      <w:pPr>
        <w:pStyle w:val="null3"/>
      </w:pPr>
      <w:r>
        <w:rPr>
          <w:rFonts w:ascii="仿宋_GB2312" w:hAnsi="仿宋_GB2312" w:cs="仿宋_GB2312" w:eastAsia="仿宋_GB2312"/>
        </w:rPr>
        <w:t>地址：西安市高新区丈八街办团结南路35号高新新天地2号楼2402室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依据中、省、市政府和社会资本合作（PPP）项目绩效管理相关规定及小寨区域海绵城市PPP项目运营期绩效评价工作方案，协助实施机构开展季度（4次）和年度（1次）运营期绩效评价工作，完成评价报告，核算政府支出。其中年度考核可以和季度考核同步开展；每月不定期开展临时考核，整理当月临时考核情况报告报实施机构，并督促项目公司整改问题；并提供PPP项目政策咨询等其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西安市小寨区域海绵城市PPP项目绩效评价咨询服务项目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标的名称：西安市小寨区域海绵城市PPP项目绩效评价咨询服务项目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.项目背景与目标：</w:t>
            </w:r>
          </w:p>
          <w:p>
            <w:pPr>
              <w:pStyle w:val="null3"/>
              <w:ind w:firstLine="420"/>
              <w:jc w:val="both"/>
            </w:pPr>
            <w:r>
              <w:rPr>
                <w:rFonts w:ascii="仿宋_GB2312" w:hAnsi="仿宋_GB2312" w:cs="仿宋_GB2312" w:eastAsia="仿宋_GB2312"/>
                <w:sz w:val="21"/>
              </w:rPr>
              <w:t>本项目主要内容为：</w:t>
            </w:r>
            <w:r>
              <w:rPr>
                <w:rFonts w:ascii="仿宋_GB2312" w:hAnsi="仿宋_GB2312" w:cs="仿宋_GB2312" w:eastAsia="仿宋_GB2312"/>
                <w:sz w:val="21"/>
              </w:rPr>
              <w:t>依据中、省、市政府和社会资本合作（</w:t>
            </w:r>
            <w:r>
              <w:rPr>
                <w:rFonts w:ascii="仿宋_GB2312" w:hAnsi="仿宋_GB2312" w:cs="仿宋_GB2312" w:eastAsia="仿宋_GB2312"/>
                <w:sz w:val="21"/>
              </w:rPr>
              <w:t>PPP）项目绩效管理相关规定及小寨区域海绵城市PPP项目运营期绩效评价工作方案，协助实施机构开展季度（4次）和年度（1次）运营期绩效评价工作，完成评价报告，核算政府支出。其中年度考核可以和季度考核同步开展；每月不定期开展临时考核，</w:t>
            </w:r>
            <w:r>
              <w:rPr>
                <w:rFonts w:ascii="仿宋_GB2312" w:hAnsi="仿宋_GB2312" w:cs="仿宋_GB2312" w:eastAsia="仿宋_GB2312"/>
                <w:sz w:val="21"/>
              </w:rPr>
              <w:t>整理当月</w:t>
            </w:r>
            <w:r>
              <w:rPr>
                <w:rFonts w:ascii="仿宋_GB2312" w:hAnsi="仿宋_GB2312" w:cs="仿宋_GB2312" w:eastAsia="仿宋_GB2312"/>
                <w:sz w:val="21"/>
              </w:rPr>
              <w:t>临时考核情况报告报实施机构，并督促项目公司整改问题；并提供</w:t>
            </w:r>
            <w:r>
              <w:rPr>
                <w:rFonts w:ascii="仿宋_GB2312" w:hAnsi="仿宋_GB2312" w:cs="仿宋_GB2312" w:eastAsia="仿宋_GB2312"/>
                <w:sz w:val="21"/>
              </w:rPr>
              <w:t>PPP项目政策咨询等其他服务。</w:t>
            </w:r>
          </w:p>
          <w:p>
            <w:pPr>
              <w:pStyle w:val="null3"/>
              <w:jc w:val="both"/>
            </w:pPr>
            <w:r>
              <w:rPr>
                <w:rFonts w:ascii="仿宋_GB2312" w:hAnsi="仿宋_GB2312" w:cs="仿宋_GB2312" w:eastAsia="仿宋_GB2312"/>
              </w:rPr>
              <w:t>二</w:t>
            </w:r>
            <w:r>
              <w:rPr>
                <w:rFonts w:ascii="仿宋_GB2312" w:hAnsi="仿宋_GB2312" w:cs="仿宋_GB2312" w:eastAsia="仿宋_GB2312"/>
              </w:rPr>
              <w:t>.采购内容及要求</w:t>
            </w:r>
          </w:p>
          <w:p>
            <w:pPr>
              <w:pStyle w:val="null3"/>
              <w:jc w:val="both"/>
            </w:pPr>
            <w:r>
              <w:rPr>
                <w:rFonts w:ascii="仿宋_GB2312" w:hAnsi="仿宋_GB2312" w:cs="仿宋_GB2312" w:eastAsia="仿宋_GB2312"/>
              </w:rPr>
              <w:t>（一）人员配置</w:t>
            </w:r>
          </w:p>
          <w:p>
            <w:pPr>
              <w:pStyle w:val="null3"/>
              <w:jc w:val="both"/>
            </w:pPr>
            <w:r>
              <w:rPr>
                <w:rFonts w:ascii="仿宋_GB2312" w:hAnsi="仿宋_GB2312" w:cs="仿宋_GB2312" w:eastAsia="仿宋_GB2312"/>
              </w:rPr>
              <w:t>提供具备资质的技术专业人员，成立服务团队，报甲方审查备案，未经甲方同意不得擅自调整。</w:t>
            </w:r>
          </w:p>
          <w:p>
            <w:pPr>
              <w:pStyle w:val="null3"/>
              <w:jc w:val="both"/>
            </w:pPr>
            <w:r>
              <w:rPr>
                <w:rFonts w:ascii="仿宋_GB2312" w:hAnsi="仿宋_GB2312" w:cs="仿宋_GB2312" w:eastAsia="仿宋_GB2312"/>
              </w:rPr>
              <w:t>（二）服务标准</w:t>
            </w:r>
          </w:p>
          <w:p>
            <w:pPr>
              <w:pStyle w:val="null3"/>
              <w:ind w:firstLine="400"/>
              <w:jc w:val="both"/>
            </w:pPr>
            <w:r>
              <w:rPr>
                <w:rFonts w:ascii="仿宋_GB2312" w:hAnsi="仿宋_GB2312" w:cs="仿宋_GB2312" w:eastAsia="仿宋_GB2312"/>
              </w:rPr>
              <w:t>供应商应要求本单位咨询人员在执行咨询任务时，准确运用国家相关法律、法规和政策及相关专业知识、技能和经验开展咨询业务，保持应有的职业谨慎，恪守客观公正、合规合法、实事求是、廉洁奉公的咨询原则。按既定的咨询实施方案，按时高质量地完成咨询工作，提交符合规范要求的咨询报告书；对咨询结果的真实性，准确性、完整性、合法性、合理性负责，维护各方合法权益，实现咨询目标。</w:t>
            </w:r>
          </w:p>
          <w:p>
            <w:pPr>
              <w:pStyle w:val="null3"/>
              <w:ind w:firstLine="400"/>
              <w:jc w:val="both"/>
            </w:pPr>
            <w:r>
              <w:rPr>
                <w:rFonts w:ascii="仿宋_GB2312" w:hAnsi="仿宋_GB2312" w:cs="仿宋_GB2312" w:eastAsia="仿宋_GB2312"/>
              </w:rPr>
              <w:t>供应商接受采购人的指导监督，咨询人直接接受并服从采购人的指令，按规定及时向采购人反馈项目的咨询情况。</w:t>
            </w:r>
          </w:p>
          <w:p>
            <w:pPr>
              <w:pStyle w:val="null3"/>
              <w:jc w:val="both"/>
            </w:pPr>
            <w:r>
              <w:rPr>
                <w:rFonts w:ascii="仿宋_GB2312" w:hAnsi="仿宋_GB2312" w:cs="仿宋_GB2312" w:eastAsia="仿宋_GB2312"/>
              </w:rPr>
              <w:t>三</w:t>
            </w:r>
            <w:r>
              <w:rPr>
                <w:rFonts w:ascii="仿宋_GB2312" w:hAnsi="仿宋_GB2312" w:cs="仿宋_GB2312" w:eastAsia="仿宋_GB2312"/>
              </w:rPr>
              <w:t>、其他</w:t>
            </w:r>
          </w:p>
          <w:p>
            <w:pPr>
              <w:pStyle w:val="null3"/>
              <w:jc w:val="both"/>
            </w:pPr>
            <w:r>
              <w:rPr>
                <w:rFonts w:ascii="仿宋_GB2312" w:hAnsi="仿宋_GB2312" w:cs="仿宋_GB2312" w:eastAsia="仿宋_GB2312"/>
              </w:rPr>
              <w:t>（一）进度要求</w:t>
            </w:r>
          </w:p>
          <w:p>
            <w:pPr>
              <w:pStyle w:val="null3"/>
              <w:jc w:val="both"/>
            </w:pPr>
            <w:r>
              <w:rPr>
                <w:rFonts w:ascii="仿宋_GB2312" w:hAnsi="仿宋_GB2312" w:cs="仿宋_GB2312" w:eastAsia="仿宋_GB2312"/>
              </w:rPr>
              <w:t>供应商</w:t>
            </w:r>
            <w:r>
              <w:rPr>
                <w:rFonts w:ascii="仿宋_GB2312" w:hAnsi="仿宋_GB2312" w:cs="仿宋_GB2312" w:eastAsia="仿宋_GB2312"/>
              </w:rPr>
              <w:t>应根据项目具体实施进度，合理安排项目推进计划。</w:t>
            </w:r>
          </w:p>
          <w:p>
            <w:pPr>
              <w:pStyle w:val="null3"/>
              <w:jc w:val="both"/>
            </w:pPr>
            <w:r>
              <w:rPr>
                <w:rFonts w:ascii="仿宋_GB2312" w:hAnsi="仿宋_GB2312" w:cs="仿宋_GB2312" w:eastAsia="仿宋_GB2312"/>
              </w:rPr>
              <w:t>（二）成果交付要求</w:t>
            </w:r>
          </w:p>
          <w:p>
            <w:pPr>
              <w:pStyle w:val="null3"/>
            </w:pPr>
            <w:r>
              <w:rPr>
                <w:rFonts w:ascii="仿宋_GB2312" w:hAnsi="仿宋_GB2312" w:cs="仿宋_GB2312" w:eastAsia="仿宋_GB2312"/>
                <w:sz w:val="21"/>
              </w:rPr>
              <w:t>供应商以实际需求提交评价报告；根据采购人实际工作需要，每月开展临时考核，督促项目公司完成问题整改；提供</w:t>
            </w:r>
            <w:r>
              <w:rPr>
                <w:rFonts w:ascii="仿宋_GB2312" w:hAnsi="仿宋_GB2312" w:cs="仿宋_GB2312" w:eastAsia="仿宋_GB2312"/>
                <w:sz w:val="21"/>
              </w:rPr>
              <w:t>PPP项目政策咨询等其他服务。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自签订之日起至乙方完成全部工作内容止（如后期PPP项目政策出现新变化，则按照最新政策要求报有关单位审核通过之日止）。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供应商完成西安市小寨区域海绵城市PPP项目第五运营年第三季度、第四季度和年度绩效评价工作并提交《运营期绩效评价报告》后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提交第六运营年第一季度、第二季度《运营期绩效评价报告》后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2024年度或2025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商务、服务条款偏离表.docx 标的清单 报价表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商务、服务条款偏离表.docx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商务、服务条款偏离表.docx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根据各供应商针对本项目提供的服务方案，包括 ①针对本项目所涉及的核心服务内容、任务安排方案等方面的理解和分析②针对本项目的理解，提供有针对性的绩效指标评价标准、选取原则、绩效指标评价分值设计思路③针对本项目技术流程、重点、难点把控方案④针对本项目的服务要求，提供报告框架设计体系及服务实施计划⑤针对本项目形成的成果文件反复你和成果交付计划等内容。 2、赋分标准 （1）方案内容科学合理、可操作性强、方案内容齐全、完全满足项目需求，得30分； （2）方案内容可行且科学合理可操作性较强、方案内容较齐全，满足项目需求，得24分； （3）方案内容较科学合理有一定的操作性、方案内容较齐全，基本满足项目需求得18分； （4）方案内容可行性一般，方案内容基本合理，得12分； （5）方案内容欠缺、缺乏科学性合理性、可操作性较差，得6分。 未提供或其他得0分。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 根据各供应商针对本项目提供的服务质量保障措施，包括①项目服务时间②服务质量保障③服务人员到位情况等内容。 2、赋分标准 （1）服务质量保障措施科学合理、可操作性强、方案内容齐全、完全满足项目需求，得10分； （2）服务质量保障措施可行且科学合理可操作性较强、方案内容较齐全，满足项目需求，得8分； （3）服务质量保障措施较科学合理有一定的操作性、方案内容较齐全，基本满足项目需求得6分； （4）服务质量保障措施可行性一般，方案内容基本合理，得4分； （5）服务质量保障措施内容欠缺、缺乏科学性合理性、可操作性较差，得2分。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方案包括①培训总体方案②重难点、问题分析及解决方案③售后方案等内容。 2、赋分标准 （1）方案完整科学；内容紧扣核心需求；形式多样、安排高效；能有效整合资源；突出实践性、操作性；计10分； （2）方案较为完整科学；内容符合核心需求；形式多样、安排基本合理；能整合资源；突出实践性、操作性；计8分； （3）方案完整；内容基本满足核心需求；形式重复、安排不够合理；资源整合能力弱；基本体现实践性、操作性；计6分； （4）方案基本可行；内容基本满足需求；形式重复、安排不够合理；资源整合能力较弱；基本体现实践性、操作性；计4分； （5）方案基本可行；内容模糊，缺乏针对性；形式单一、安排存在漏洞；缺乏实践性、操作性；计2分；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1、评审内容 根据各供应商针对本项目投入的项目负责人情况进行赋分。 2、赋分标准 ：项目负责人具备注册会计师或咨询工程师（投资）证书或中级及以上职称证书的，得5分； 注：须提供人员相关证明材料。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 ，内容包含:①项目组织构架；②岗位分工及责任制度；③人员管理制度； 二、评审标准 （1）方案内容科学合理、可操作性强、方案内容齐全、完全满足项目需求，得10分； （2）方案内容可行且科学合理可操作性较强、方案内容较齐全，满足项目需求，得8分； （3）方案内容较科学合理有一定的操作性、方案内容较齐全，基本满足项目需求得6分； （4）方案内容可行性一般，方案内容基本合理，得4分； （5）方案内容欠缺、缺乏科学性合理性、可操作性较差，得2分。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服务质量保证措施及承诺，包括但不限于信息的及时反馈、实施工作中的主动沟通汇报；②拟派人员专业能力承诺，包括但不限于拟派人员专业能力的承诺、若采购人对服务不满意，可要求更换拟派人员等； 2、赋分标准 （1）承诺内容科学合理、可操作性强、内容齐全、完全满足项目需求，得10分； （2）承诺内容可行且科学合理可操作性较强、内容较齐全，基本满足项目需求，得8分； （3）承诺内容较科学合理有一定的操作性、内容较齐全，基本满足项目需求得6分； （4）承诺内容可行性一般，内容基本合理，得4分； （5）承诺内容欠缺、缺乏科学性合理性、可操作性较差，得2分。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1、评审内容：供应商提供2023年1月1日至今（以合同签订日期为准）类似项目业绩，每一份计5分，最多计15分。 2、评审标准：业绩证明材料（以磋商响应文件中提供的合同复印件为准，合同关键页内容须包含合同名称、签订双方名称、签订时间、主要服务内容、双方盖章页等）。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满足磋商文件要求且最后报价最低的供应商的价格为基准价，其价格分为满分。其他供应商的价格分统一按照下列公式计算： 报价得分=（基准价/投标报价）×价格权值×100 价格评审过程中，不得去掉报价中的最高报价和最低报价。 各供应商投标报价不得超过该项目预算，否则视为无效投标。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