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版本号：ZHPM-ZC-2600520260327001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西安市地下综合管廊建设PPP项目绩效评价咨询服务项目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ZHPM-ZC-26005</w:t>
      </w:r>
      <w:r>
        <w:br/>
      </w:r>
      <w:r>
        <w:br/>
      </w:r>
      <w:r>
        <w:br/>
      </w:r>
    </w:p>
    <w:p>
      <w:pPr>
        <w:pStyle w:val="null3"/>
        <w:jc w:val="center"/>
        <w:outlineLvl w:val="2"/>
      </w:pPr>
      <w:r>
        <w:rPr>
          <w:rFonts w:ascii="仿宋_GB2312" w:hAnsi="仿宋_GB2312" w:cs="仿宋_GB2312" w:eastAsia="仿宋_GB2312"/>
          <w:sz w:val="28"/>
          <w:b/>
        </w:rPr>
        <w:t>西安市住房和城乡建设局（本级）</w:t>
      </w:r>
    </w:p>
    <w:p>
      <w:pPr>
        <w:pStyle w:val="null3"/>
        <w:jc w:val="center"/>
        <w:outlineLvl w:val="2"/>
      </w:pPr>
      <w:r>
        <w:rPr>
          <w:rFonts w:ascii="仿宋_GB2312" w:hAnsi="仿宋_GB2312" w:cs="仿宋_GB2312" w:eastAsia="仿宋_GB2312"/>
          <w:sz w:val="28"/>
          <w:b/>
        </w:rPr>
        <w:t>中昊项目管理有限公司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中昊项目管理有限公司</w:t>
      </w:r>
      <w:r>
        <w:rPr>
          <w:rFonts w:ascii="仿宋_GB2312" w:hAnsi="仿宋_GB2312" w:cs="仿宋_GB2312" w:eastAsia="仿宋_GB2312"/>
        </w:rPr>
        <w:t>（以下简称“代理机构”）受</w:t>
      </w:r>
      <w:r>
        <w:rPr>
          <w:rFonts w:ascii="仿宋_GB2312" w:hAnsi="仿宋_GB2312" w:cs="仿宋_GB2312" w:eastAsia="仿宋_GB2312"/>
        </w:rPr>
        <w:t>西安市住房和城乡建设局（本级）</w:t>
      </w:r>
      <w:r>
        <w:rPr>
          <w:rFonts w:ascii="仿宋_GB2312" w:hAnsi="仿宋_GB2312" w:cs="仿宋_GB2312" w:eastAsia="仿宋_GB2312"/>
        </w:rPr>
        <w:t>委托，拟对</w:t>
      </w:r>
      <w:r>
        <w:rPr>
          <w:rFonts w:ascii="仿宋_GB2312" w:hAnsi="仿宋_GB2312" w:cs="仿宋_GB2312" w:eastAsia="仿宋_GB2312"/>
        </w:rPr>
        <w:t>西安市地下综合管廊建设PPP项目绩效评价咨询服务项目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ZHPM-ZC-26005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西安市地下综合管廊建设PPP项目绩效评价咨询服务项目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主要内容为：依据中、省、市政府和社会资本合作（PPP）项目绩效管理相关规定及地下综合管廊建设PPP项目运营期绩效评价工作方案，协助实施机构开展季度（4次）和年度（1次）运营期绩效评价相关工作，完成评价报告，核算政府支出。其中年度考核可以和季度考核同步开展；每月不定期开展临时考核，整理当月临时考核情况报告报实施机构，并督促项目公司整改问题；提供PPP项目政策咨询等其他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采购包1（西安市地下综合管廊建设PPP项目绩效评价咨询服务项目）：属于专门面向中小企业采购。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1、法定代表人身份证明或法定代表人授权书：法定代表人直接参加磋商，须提供法定代表人身份证明及身份证复印件；授权代表参与磋商，须提供法定代表人授权书（附法定代表人、被授权人身份证复印件）。</w:t>
      </w:r>
    </w:p>
    <w:p>
      <w:pPr>
        <w:pStyle w:val="null3"/>
      </w:pPr>
      <w:r>
        <w:rPr>
          <w:rFonts w:ascii="仿宋_GB2312" w:hAnsi="仿宋_GB2312" w:cs="仿宋_GB2312" w:eastAsia="仿宋_GB2312"/>
        </w:rPr>
        <w:t>2、不接受联合体磋商：本项目不接受联合体磋商。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西安市住房和城乡建设局（本级）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未央区市级机关凤城九路办公区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魏工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029-61328861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中昊项目管理有限公司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西安市高新区丈八街办团结南路35号高新新天地2号楼2402室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杨小倩、张小怡、齐涛、张莉莉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029-87303582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原国家计委颁发的《招标代理服务收费管理暂行办法》(计价格[2002]1980号)和国家发展和改革委员会办公厅颁发的《关于招标代理服务收费有关问题的通知》(发改办价格[2003]857号)的计算方法计取。 开户名称：中昊项目管理有限公司 开户银行：中国民生银行股份有限公司西安枫林绿洲支行 账号:160927203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西安市住房和城乡建设局（本级）</w:t>
      </w:r>
      <w:r>
        <w:rPr>
          <w:rFonts w:ascii="仿宋_GB2312" w:hAnsi="仿宋_GB2312" w:cs="仿宋_GB2312" w:eastAsia="仿宋_GB2312"/>
        </w:rPr>
        <w:t>和</w:t>
      </w:r>
      <w:r>
        <w:rPr>
          <w:rFonts w:ascii="仿宋_GB2312" w:hAnsi="仿宋_GB2312" w:cs="仿宋_GB2312" w:eastAsia="仿宋_GB2312"/>
        </w:rPr>
        <w:t>中昊项目管理有限公司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西安市住房和城乡建设局（本级）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中昊项目管理有限公司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西安市住房和城乡建设局（本级）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中昊项目管理有限公司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符合国家相关标准和磋商文件及磋商响应文件承诺的相关内容。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中昊项目管理有限公司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中昊项目管理有限公司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中昊项目管理有限公司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联系人：杨小倩、张小怡、齐涛、张莉莉</w:t>
      </w:r>
    </w:p>
    <w:p>
      <w:pPr>
        <w:pStyle w:val="null3"/>
      </w:pPr>
      <w:r>
        <w:rPr>
          <w:rFonts w:ascii="仿宋_GB2312" w:hAnsi="仿宋_GB2312" w:cs="仿宋_GB2312" w:eastAsia="仿宋_GB2312"/>
        </w:rPr>
        <w:t>联系电话：029-87303582</w:t>
      </w:r>
    </w:p>
    <w:p>
      <w:pPr>
        <w:pStyle w:val="null3"/>
      </w:pPr>
      <w:r>
        <w:rPr>
          <w:rFonts w:ascii="仿宋_GB2312" w:hAnsi="仿宋_GB2312" w:cs="仿宋_GB2312" w:eastAsia="仿宋_GB2312"/>
        </w:rPr>
        <w:t>地址：西安市高新区丈八街办团结南路35号高新新天地2号楼2402室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主要内容为：依据中、省、市政府和社会资本合作（PPP）项目绩效管理相关规定及地下综合管廊建设PPP项目运营期绩效评价工作方案，协助实施机构开展季度（4次）和年度（1次）运营期绩效评价相关工作，完成评价报告，核算政府支出。其中年度考核可以和季度考核同步开展；每月不定期开展临时考核，整理当月临时考核情况报告报实施机构，并督促项目公司整改问题；提供PPP项目政策咨询等其他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西安市地下综合管廊建设PPP项目绩效评价咨询服务项目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标的名称：西安市地下综合管廊建设PPP项目绩效评价咨询服务项目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w:t>
            </w:r>
            <w:r>
              <w:rPr>
                <w:rFonts w:ascii="仿宋_GB2312" w:hAnsi="仿宋_GB2312" w:cs="仿宋_GB2312" w:eastAsia="仿宋_GB2312"/>
              </w:rPr>
              <w:t>.项目背景与目标：</w:t>
            </w:r>
          </w:p>
          <w:p>
            <w:pPr>
              <w:pStyle w:val="null3"/>
              <w:ind w:firstLine="420"/>
              <w:jc w:val="both"/>
            </w:pPr>
            <w:r>
              <w:rPr>
                <w:rFonts w:ascii="仿宋_GB2312" w:hAnsi="仿宋_GB2312" w:cs="仿宋_GB2312" w:eastAsia="仿宋_GB2312"/>
                <w:sz w:val="21"/>
              </w:rPr>
              <w:t>本项目主要内容为：依据中、省、市政府和社会资本合作（</w:t>
            </w:r>
            <w:r>
              <w:rPr>
                <w:rFonts w:ascii="仿宋_GB2312" w:hAnsi="仿宋_GB2312" w:cs="仿宋_GB2312" w:eastAsia="仿宋_GB2312"/>
                <w:sz w:val="21"/>
              </w:rPr>
              <w:t>PPP）项目绩效管理相关规定及地下综合管廊建设PPP项目运营期绩效评价工作方案，协助实施机构开展季度（4次）和年度（1次）运营期绩效评价相关工作，完成评价报告，核算政府支出。其中年度考核可以和季度考核同步开展；每月不定期开展临时考核，整理当月临时考核情况报告报实施机构，并督促项目公司整改问题；提供PPP项目政策咨询等其他服务。</w:t>
            </w:r>
          </w:p>
          <w:p>
            <w:pPr>
              <w:pStyle w:val="null3"/>
              <w:jc w:val="both"/>
            </w:pPr>
            <w:r>
              <w:rPr>
                <w:rFonts w:ascii="仿宋_GB2312" w:hAnsi="仿宋_GB2312" w:cs="仿宋_GB2312" w:eastAsia="仿宋_GB2312"/>
              </w:rPr>
              <w:t>二</w:t>
            </w:r>
            <w:r>
              <w:rPr>
                <w:rFonts w:ascii="仿宋_GB2312" w:hAnsi="仿宋_GB2312" w:cs="仿宋_GB2312" w:eastAsia="仿宋_GB2312"/>
              </w:rPr>
              <w:t>.采购内容及要求</w:t>
            </w:r>
          </w:p>
          <w:p>
            <w:pPr>
              <w:pStyle w:val="null3"/>
              <w:jc w:val="both"/>
            </w:pPr>
            <w:r>
              <w:rPr>
                <w:rFonts w:ascii="仿宋_GB2312" w:hAnsi="仿宋_GB2312" w:cs="仿宋_GB2312" w:eastAsia="仿宋_GB2312"/>
              </w:rPr>
              <w:t>（一）人员配置</w:t>
            </w:r>
          </w:p>
          <w:p>
            <w:pPr>
              <w:pStyle w:val="null3"/>
              <w:jc w:val="both"/>
            </w:pPr>
            <w:r>
              <w:rPr>
                <w:rFonts w:ascii="仿宋_GB2312" w:hAnsi="仿宋_GB2312" w:cs="仿宋_GB2312" w:eastAsia="仿宋_GB2312"/>
              </w:rPr>
              <w:t>提供具备资质的技术专业人员，成立服务团队，报甲方审查备案，未经甲方同意不得擅自调整。</w:t>
            </w:r>
          </w:p>
          <w:p>
            <w:pPr>
              <w:pStyle w:val="null3"/>
              <w:jc w:val="both"/>
            </w:pPr>
            <w:r>
              <w:rPr>
                <w:rFonts w:ascii="仿宋_GB2312" w:hAnsi="仿宋_GB2312" w:cs="仿宋_GB2312" w:eastAsia="仿宋_GB2312"/>
              </w:rPr>
              <w:t>（二）服务标准</w:t>
            </w:r>
          </w:p>
          <w:p>
            <w:pPr>
              <w:pStyle w:val="null3"/>
              <w:ind w:firstLine="400"/>
              <w:jc w:val="both"/>
            </w:pPr>
            <w:r>
              <w:rPr>
                <w:rFonts w:ascii="仿宋_GB2312" w:hAnsi="仿宋_GB2312" w:cs="仿宋_GB2312" w:eastAsia="仿宋_GB2312"/>
              </w:rPr>
              <w:t>供应商应要求本单位咨询人员在执行咨询任务时，准确运用国家相关法律、法规和政策及相关专业知识、技能和经验开展咨询业务，保持应有的职业谨慎，恪守客观公正、合规合法、实事求是、廉洁奉公的咨询原则。按既定的咨询实施方案，按时高质量地完成咨询工作，提交符合规范要求的咨询报告书；对咨询结果的真实性，准确性、完整性、合法性、合理性负责，维护各方合法权益，实现咨询目标。</w:t>
            </w:r>
          </w:p>
          <w:p>
            <w:pPr>
              <w:pStyle w:val="null3"/>
              <w:ind w:firstLine="400"/>
              <w:jc w:val="both"/>
            </w:pPr>
            <w:r>
              <w:rPr>
                <w:rFonts w:ascii="仿宋_GB2312" w:hAnsi="仿宋_GB2312" w:cs="仿宋_GB2312" w:eastAsia="仿宋_GB2312"/>
              </w:rPr>
              <w:t>供应商接受采购人的指导监督，咨询人直接接受并服从采购人的指令，按规定及时向采购人反馈项目的咨询情况。</w:t>
            </w:r>
          </w:p>
          <w:p>
            <w:pPr>
              <w:pStyle w:val="null3"/>
              <w:jc w:val="both"/>
            </w:pPr>
            <w:r>
              <w:rPr>
                <w:rFonts w:ascii="仿宋_GB2312" w:hAnsi="仿宋_GB2312" w:cs="仿宋_GB2312" w:eastAsia="仿宋_GB2312"/>
              </w:rPr>
              <w:t>三</w:t>
            </w:r>
            <w:r>
              <w:rPr>
                <w:rFonts w:ascii="仿宋_GB2312" w:hAnsi="仿宋_GB2312" w:cs="仿宋_GB2312" w:eastAsia="仿宋_GB2312"/>
              </w:rPr>
              <w:t>、其他</w:t>
            </w:r>
          </w:p>
          <w:p>
            <w:pPr>
              <w:pStyle w:val="null3"/>
              <w:jc w:val="both"/>
            </w:pPr>
            <w:r>
              <w:rPr>
                <w:rFonts w:ascii="仿宋_GB2312" w:hAnsi="仿宋_GB2312" w:cs="仿宋_GB2312" w:eastAsia="仿宋_GB2312"/>
              </w:rPr>
              <w:t>（一）进度要求</w:t>
            </w:r>
          </w:p>
          <w:p>
            <w:pPr>
              <w:pStyle w:val="null3"/>
              <w:jc w:val="both"/>
            </w:pPr>
            <w:r>
              <w:rPr>
                <w:rFonts w:ascii="仿宋_GB2312" w:hAnsi="仿宋_GB2312" w:cs="仿宋_GB2312" w:eastAsia="仿宋_GB2312"/>
              </w:rPr>
              <w:t>供应商</w:t>
            </w:r>
            <w:r>
              <w:rPr>
                <w:rFonts w:ascii="仿宋_GB2312" w:hAnsi="仿宋_GB2312" w:cs="仿宋_GB2312" w:eastAsia="仿宋_GB2312"/>
              </w:rPr>
              <w:t>应根据项目具体实施进度，合理安排项目推进计划。</w:t>
            </w:r>
          </w:p>
          <w:p>
            <w:pPr>
              <w:pStyle w:val="null3"/>
              <w:jc w:val="both"/>
            </w:pPr>
            <w:r>
              <w:rPr>
                <w:rFonts w:ascii="仿宋_GB2312" w:hAnsi="仿宋_GB2312" w:cs="仿宋_GB2312" w:eastAsia="仿宋_GB2312"/>
              </w:rPr>
              <w:t>（二）成果交付要求</w:t>
            </w:r>
          </w:p>
          <w:p>
            <w:pPr>
              <w:pStyle w:val="null3"/>
            </w:pPr>
            <w:r>
              <w:rPr>
                <w:rFonts w:ascii="仿宋_GB2312" w:hAnsi="仿宋_GB2312" w:cs="仿宋_GB2312" w:eastAsia="仿宋_GB2312"/>
                <w:sz w:val="21"/>
              </w:rPr>
              <w:t>供应商以实际需求提交评价报告；根据采购人实际工作需要，每月开展临时考核，督促项目公司完成问题整改；提供</w:t>
            </w:r>
            <w:r>
              <w:rPr>
                <w:rFonts w:ascii="仿宋_GB2312" w:hAnsi="仿宋_GB2312" w:cs="仿宋_GB2312" w:eastAsia="仿宋_GB2312"/>
                <w:sz w:val="21"/>
              </w:rPr>
              <w:t>PPP项目政策咨询等其他服务。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自签订之日起至乙方完成全部工作内容止（如后期PPP项目政策出现新变化，则按照最新政策要求报有关单位审核通过之日止）。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供应商完成西安市地下综合管廊建设PPP项目2026运营年第一季度、第二季度绩效评价工作并提交《运营期绩效评价报告》后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提交第三季度、第四季度和2026运营年年度《运营期绩效评价报告》后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具体要求详见服务合同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①具有独立承担民事责任能力的法人、其他组织或自然人，提供合法有效的统一社会信用代码营业执照（事业单位法人证书/专业服务机构执业许可证/民办非企业单位登记证书，自然人提供身份证）；②税收缴纳证明：法人提供磋商截止日前一年内任意一个月的纳税证明或完税证明，纳税证明或完税证明上应有代收机构或税务机关的公章或业务专用章；其他组织和自然人提供磋商截止日前一年内任意一个月缴纳税收的凭据；依法免税的或者依法不需缴税的供应商应提供相关文件证明；③社会保障资金缴纳证明：提供磋商截止日前一年内任意一个月已缴纳的社会保障资金的证明（社会保障资金缴存单据或社保机构开具的社会保险参保缴费情况证明等）；依法不需要缴纳社会保障资金的供应商应提供相关文件证明；④提供具有履行本合同所必需的设备和专业技术能力的声明；⑤参加本次政府采购活动前3年内在经营活动中没有重大违纪，以及未被列入失信被执行人、重大税收违法案件当事人名单、政府采购严重违法失信行为记录名单的书面声明；注：以上②-③项，提供“陕西省政府采购供应商信用承诺书”的，可不再提供其他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报告：法人提供会计师事务所出具的有效的2024年度或2025年度审计报告（成立时间至提交响应文件截止时间不足一年的可提供成立后任意时段的资产负债表），或提交在开标日期前六个月内其开户银行出具的资信证明，或信用担保机构出具的投标担保函（以上三种形式的资料提供任何一种即可）；其他组织和自然人提供银行出具的资信证明或财务报表；注：此项资格提供“陕西省政府采购供应商信用承诺书”的，可不再提供其他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法定代表人直接参加磋商，须提供法定代表人身份证明及身份证复印件；授权代表参与磋商，须提供法定代表人授权书（附法定代表人、被授权人身份证复印件）。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完整无缺项，未超过最高限价(单价限价)， 无选择性报价。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磋商响应文件的签字盖章合格有效</w:t>
            </w:r>
          </w:p>
        </w:tc>
        <w:tc>
          <w:tcPr>
            <w:tcW w:type="dxa" w:w="1661"/>
          </w:tcPr>
          <w:p>
            <w:pPr>
              <w:pStyle w:val="null3"/>
            </w:pPr>
            <w:r>
              <w:rPr>
                <w:rFonts w:ascii="仿宋_GB2312" w:hAnsi="仿宋_GB2312" w:cs="仿宋_GB2312" w:eastAsia="仿宋_GB2312"/>
              </w:rPr>
              <w:t>响应文件封面 商务、服务条款偏离表.docx 标的清单 报价表 供应商资格证明文件.docx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商务、服务条款偏离表.docx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完全理解并响应磋商文件合同条款的要求，且未含有采购人不能接受的附加条件的。</w:t>
            </w:r>
          </w:p>
        </w:tc>
        <w:tc>
          <w:tcPr>
            <w:tcW w:type="dxa" w:w="1661"/>
          </w:tcPr>
          <w:p>
            <w:pPr>
              <w:pStyle w:val="null3"/>
            </w:pPr>
            <w:r>
              <w:rPr>
                <w:rFonts w:ascii="仿宋_GB2312" w:hAnsi="仿宋_GB2312" w:cs="仿宋_GB2312" w:eastAsia="仿宋_GB2312"/>
              </w:rPr>
              <w:t>商务、服务条款偏离表.docx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符合磋商文件的实质性要求</w:t>
            </w:r>
          </w:p>
        </w:tc>
        <w:tc>
          <w:tcPr>
            <w:tcW w:type="dxa" w:w="3322"/>
          </w:tcPr>
          <w:p>
            <w:pPr>
              <w:pStyle w:val="null3"/>
            </w:pPr>
            <w:r>
              <w:rPr>
                <w:rFonts w:ascii="仿宋_GB2312" w:hAnsi="仿宋_GB2312" w:cs="仿宋_GB2312" w:eastAsia="仿宋_GB2312"/>
              </w:rPr>
              <w:t>符合磋商文件的所有实质性要求</w:t>
            </w:r>
          </w:p>
        </w:tc>
        <w:tc>
          <w:tcPr>
            <w:tcW w:type="dxa" w:w="1661"/>
          </w:tcPr>
          <w:p>
            <w:pPr>
              <w:pStyle w:val="null3"/>
            </w:pPr>
            <w:r>
              <w:rPr>
                <w:rFonts w:ascii="仿宋_GB2312" w:hAnsi="仿宋_GB2312" w:cs="仿宋_GB2312" w:eastAsia="仿宋_GB2312"/>
              </w:rPr>
              <w:t>商务、服务条款偏离表.docx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根据各供应商针对本项目提供的服务方案，包括 ①针对本项目所涉及的核心服务内容、任务安排方案等方面的理解和分析②针对本项目的理解，提供有针对性的绩效指标评价标准、选取原则、绩效指标评价分值设计思路③针对本项目技术流程、重点、难点把控方案④针对本项目的服务要求，提供报告框架设计体系及服务实施计划⑤针对本项目形成的成果文件反复你和成果交付计划等内容。 2、赋分标准 （1）方案内容科学合理、可操作性强、方案内容齐全、完全满足项目需求，得30分； （2）方案内容可行且科学合理可操作性较强、方案内容较齐全，满足项目需求，得24分； （3）方案内容较科学合理有一定的操作性、方案内容较齐全，基本满足项目需求得18分； （4）方案内容可行性一般，方案内容基本合理，得12分； （5）方案内容欠缺、缺乏科学性合理性、可操作性较差，得6分。 未提供或其他得0分。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1、评审内容 根据各供应商针对本项目提供的服务质量保障措施，包括①项目服务时间②服务质量保障③服务人员到位情况等内容。 2、赋分标准 （1）服务质量保障措施科学合理、可操作性强、方案内容齐全、完全满足项目需求，得10分； （2）服务质量保障措施可行且科学合理可操作性较强、方案内容较齐全，满足项目需求，得8分； （3）服务质量保障措施较科学合理有一定的操作性、方案内容较齐全，基本满足项目需求得6分； （4）服务质量保障措施可行性一般，方案内容基本合理，得4分； （5）服务质量保障措施内容欠缺、缺乏科学性合理性、可操作性较差，得2分。 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售后方案</w:t>
            </w:r>
          </w:p>
        </w:tc>
        <w:tc>
          <w:tcPr>
            <w:tcW w:type="dxa" w:w="2492"/>
          </w:tcPr>
          <w:p>
            <w:pPr>
              <w:pStyle w:val="null3"/>
            </w:pPr>
            <w:r>
              <w:rPr>
                <w:rFonts w:ascii="仿宋_GB2312" w:hAnsi="仿宋_GB2312" w:cs="仿宋_GB2312" w:eastAsia="仿宋_GB2312"/>
              </w:rPr>
              <w:t>1、评审内容 方案包括①培训总体方案②重难点、问题分析及解决方案③售后方案等内容。 2、赋分标准 （1）方案完整科学；内容紧扣核心需求；形式多样、安排高效；能有效整合资源；突出实践性、操作性；计10分； （2）方案较为完整科学；内容符合核心需求；形式多样、安排基本合理；能整合资源；突出实践性、操作性；计8分； （3）方案完整；内容基本满足核心需求；形式重复、安排不够合理；资源整合能力弱；基本体现实践性、操作性；计6分； （4）方案基本可行；内容基本满足需求；形式重复、安排不够合理；资源整合能力较弱；基本体现实践性、操作性；计4分； （5）方案基本可行；内容模糊，缺乏针对性；形式单一、安排存在漏洞；缺乏实践性、操作性；计2分； 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1、评审内容 根据各供应商针对本项目投入的项目负责人情况进行赋分。 2、赋分标准 ：项目负责人具备注册会计师或咨询工程师（投资）证书或中级及以上职称证书的，得5分； 注：须提供人员相关证明材料。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人员配备管理方案</w:t>
            </w:r>
          </w:p>
        </w:tc>
        <w:tc>
          <w:tcPr>
            <w:tcW w:type="dxa" w:w="2492"/>
          </w:tcPr>
          <w:p>
            <w:pPr>
              <w:pStyle w:val="null3"/>
            </w:pPr>
            <w:r>
              <w:rPr>
                <w:rFonts w:ascii="仿宋_GB2312" w:hAnsi="仿宋_GB2312" w:cs="仿宋_GB2312" w:eastAsia="仿宋_GB2312"/>
              </w:rPr>
              <w:t>一、评审内容 供应商针对本项目编制完善的人员配备管理方案 ，内容包含:①项目组织构架；②岗位分工及责任制度；③人员管理制度； 二、评审标准 （1）方案内容科学合理、可操作性强、方案内容齐全、完全满足项目需求，得10分； （2）方案内容可行且科学合理可操作性较强、方案内容较齐全，满足项目需求，得8分； （3）方案内容较科学合理有一定的操作性、方案内容较齐全，基本满足项目需求得6分； （4）方案内容可行性一般，方案内容基本合理，得4分； （5）方案内容欠缺、缺乏科学性合理性、可操作性较差，得2分。 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针对本项目编制完善的服务承诺，内容包含:①服务质量保证措施及承诺，包括但不限于信息的及时反馈、实施工作中的主动沟通汇报；②拟派人员专业能力承诺，包括但不限于拟派人员专业能力的承诺、若采购人对服务不满意，可要求更换拟派人员等； 2、赋分标准 （1）承诺内容科学合理、可操作性强、内容齐全、完全满足项目需求，得10分； （2）承诺内容可行且科学合理可操作性较强、内容较齐全，基本满足项目需求，得8分； （3）承诺内容较科学合理有一定的操作性、内容较齐全，基本满足项目需求得6分； （4）承诺内容可行性一般，内容基本合理，得4分； （5）承诺内容欠缺、缺乏科学性合理性、可操作性较差，得2分。 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1、评审内容：供应商提供2023年1月1日至今（以合同签订日期为准）类似项目业绩，每一份计5分，最多计15分。 2、评审标准：业绩证明材料（以磋商响应文件中提供的合同复印件为准，合同关键页内容须包含合同名称、签订双方名称、签订时间、主要服务内容、双方盖章页等）。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满足磋商文件要求且最后报价最低的供应商的价格为基准价，其价格分为满分。其他供应商的价格分统一按照下列公式计算： 报价得分=（基准价/投标报价）×价格权值×100 价格评审过程中，不得去掉报价中的最高报价和最低报价。 各供应商投标报价不得超过该项目预算，否则视为无效投标。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详见附件：商务、服务条款偏离表.docx</w:t>
      </w:r>
    </w:p>
    <w:p>
      <w:pPr>
        <w:pStyle w:val="null3"/>
        <w:ind w:firstLine="960"/>
      </w:pPr>
      <w:r>
        <w:rPr>
          <w:rFonts w:ascii="仿宋_GB2312" w:hAnsi="仿宋_GB2312" w:cs="仿宋_GB2312" w:eastAsia="仿宋_GB2312"/>
        </w:rPr>
        <w:t>详见附件：磋商响应方案说明书.docx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