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FD427">
      <w:pPr>
        <w:rPr>
          <w:color w:val="000000"/>
          <w:sz w:val="32"/>
          <w:szCs w:val="28"/>
        </w:rPr>
      </w:pPr>
      <w:bookmarkStart w:id="0" w:name="_Toc10265"/>
      <w:bookmarkStart w:id="1" w:name="_Toc14563"/>
      <w:bookmarkStart w:id="2" w:name="_Toc27091"/>
      <w:bookmarkStart w:id="3" w:name="_Toc25908"/>
      <w:bookmarkStart w:id="4" w:name="_Toc23726"/>
      <w:r>
        <w:rPr>
          <w:rFonts w:hint="eastAsia"/>
          <w:color w:val="000000"/>
          <w:sz w:val="32"/>
          <w:szCs w:val="28"/>
        </w:rPr>
        <w:t>合同类型：</w:t>
      </w:r>
    </w:p>
    <w:p w14:paraId="7B2AABD0">
      <w:pPr>
        <w:rPr>
          <w:color w:val="000000"/>
          <w:sz w:val="32"/>
          <w:szCs w:val="28"/>
        </w:rPr>
      </w:pPr>
      <w:r>
        <w:rPr>
          <w:rFonts w:hint="eastAsia"/>
          <w:color w:val="000000"/>
          <w:sz w:val="32"/>
          <w:szCs w:val="28"/>
        </w:rPr>
        <w:t>合同编号：</w:t>
      </w:r>
    </w:p>
    <w:p w14:paraId="2F0E4DFD">
      <w:pPr>
        <w:rPr>
          <w:color w:val="000000"/>
        </w:rPr>
      </w:pPr>
    </w:p>
    <w:p w14:paraId="52D2AD77">
      <w:pPr>
        <w:rPr>
          <w:color w:val="000000"/>
        </w:rPr>
      </w:pPr>
    </w:p>
    <w:p w14:paraId="77557DCD">
      <w:pPr>
        <w:rPr>
          <w:color w:val="000000"/>
        </w:rPr>
      </w:pPr>
    </w:p>
    <w:p w14:paraId="25C81DEE">
      <w:pPr>
        <w:rPr>
          <w:color w:val="000000"/>
        </w:rPr>
      </w:pPr>
    </w:p>
    <w:p w14:paraId="09310210">
      <w:pPr>
        <w:rPr>
          <w:color w:val="000000"/>
        </w:rPr>
      </w:pPr>
    </w:p>
    <w:p w14:paraId="3828E80B">
      <w:pPr>
        <w:rPr>
          <w:color w:val="000000"/>
        </w:rPr>
      </w:pPr>
    </w:p>
    <w:p w14:paraId="145ACBBC">
      <w:pPr>
        <w:rPr>
          <w:color w:val="000000"/>
        </w:rPr>
      </w:pPr>
    </w:p>
    <w:p w14:paraId="7A46A7B0">
      <w:pPr>
        <w:jc w:val="center"/>
        <w:outlineLvl w:val="0"/>
        <w:rPr>
          <w:rFonts w:ascii="黑体" w:hAnsi="黑体" w:eastAsia="黑体"/>
          <w:color w:val="000000"/>
          <w:sz w:val="72"/>
          <w:szCs w:val="60"/>
        </w:rPr>
      </w:pPr>
      <w:r>
        <w:rPr>
          <w:rFonts w:hint="eastAsia" w:ascii="黑体" w:hAnsi="黑体" w:eastAsia="黑体"/>
          <w:color w:val="000000"/>
          <w:sz w:val="72"/>
          <w:szCs w:val="60"/>
        </w:rPr>
        <w:t>PPP项目咨询服务合同</w:t>
      </w:r>
    </w:p>
    <w:p w14:paraId="039BF437">
      <w:pPr>
        <w:rPr>
          <w:color w:val="000000"/>
        </w:rPr>
      </w:pPr>
    </w:p>
    <w:p w14:paraId="10F49D67">
      <w:pPr>
        <w:rPr>
          <w:color w:val="000000"/>
        </w:rPr>
      </w:pPr>
    </w:p>
    <w:p w14:paraId="13472D78">
      <w:pPr>
        <w:rPr>
          <w:color w:val="000000"/>
        </w:rPr>
      </w:pPr>
    </w:p>
    <w:p w14:paraId="2CA81F26">
      <w:pPr>
        <w:rPr>
          <w:color w:val="000000"/>
        </w:rPr>
      </w:pPr>
    </w:p>
    <w:p w14:paraId="48BFC461">
      <w:pPr>
        <w:rPr>
          <w:color w:val="000000"/>
        </w:rPr>
      </w:pPr>
    </w:p>
    <w:p w14:paraId="7FDD9354">
      <w:pPr>
        <w:rPr>
          <w:color w:val="000000"/>
        </w:rPr>
      </w:pPr>
    </w:p>
    <w:p w14:paraId="7269F267">
      <w:pPr>
        <w:pStyle w:val="2"/>
        <w:ind w:firstLine="400"/>
        <w:rPr>
          <w:color w:val="000000"/>
        </w:rPr>
      </w:pPr>
    </w:p>
    <w:p w14:paraId="6585410B">
      <w:pPr>
        <w:rPr>
          <w:color w:val="000000"/>
        </w:rPr>
      </w:pPr>
    </w:p>
    <w:p w14:paraId="441D24ED">
      <w:pPr>
        <w:pStyle w:val="2"/>
        <w:ind w:firstLine="400"/>
        <w:rPr>
          <w:color w:val="000000"/>
        </w:rPr>
      </w:pPr>
    </w:p>
    <w:p w14:paraId="2D1E8173">
      <w:pPr>
        <w:rPr>
          <w:color w:val="000000"/>
        </w:rPr>
      </w:pPr>
    </w:p>
    <w:p w14:paraId="0658DB18">
      <w:pPr>
        <w:pStyle w:val="2"/>
        <w:ind w:firstLine="400"/>
      </w:pPr>
    </w:p>
    <w:p w14:paraId="19D9D1AE">
      <w:pPr>
        <w:jc w:val="left"/>
        <w:rPr>
          <w:color w:val="000000"/>
          <w:sz w:val="28"/>
          <w:szCs w:val="28"/>
          <w:u w:val="single"/>
        </w:rPr>
      </w:pPr>
      <w:r>
        <w:rPr>
          <w:sz w:val="28"/>
          <w:szCs w:val="28"/>
        </w:rPr>
        <mc:AlternateContent>
          <mc:Choice Requires="wps">
            <w:drawing>
              <wp:anchor distT="0" distB="0" distL="114300" distR="114300" simplePos="0" relativeHeight="251659264" behindDoc="0" locked="0" layoutInCell="1" allowOverlap="1">
                <wp:simplePos x="0" y="0"/>
                <wp:positionH relativeFrom="column">
                  <wp:posOffset>975995</wp:posOffset>
                </wp:positionH>
                <wp:positionV relativeFrom="paragraph">
                  <wp:posOffset>353695</wp:posOffset>
                </wp:positionV>
                <wp:extent cx="4400550" cy="9525"/>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4400550" cy="9525"/>
                        </a:xfrm>
                        <a:prstGeom prst="straightConnector1">
                          <a:avLst/>
                        </a:prstGeom>
                        <a:ln w="12700"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76.85pt;margin-top:27.85pt;height:0.75pt;width:346.5pt;z-index:251659264;mso-width-relative:page;mso-height-relative:page;" filled="f" stroked="t" coordsize="21600,21600" o:gfxdata="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ZQt3ONQAAAAJAQAADwAAAAAAAAABACAAAAAiAAAAZHJzL2Rvd25yZXYu&#10;eG1sUEsBAhQAFAAAAAgAh07iQG1JuKz/AQAA8AMAAA4AAAAAAAAAAQAgAAAAIwEAAGRycy9lMm9E&#10;b2MueG1sUEsFBgAAAAAGAAYAWQEAAJQFAAAAAA==&#10;">
                <v:fill on="f" focussize="0,0"/>
                <v:stroke weight="1pt" color="#000000" joinstyle="round"/>
                <v:imagedata o:title=""/>
                <o:lock v:ext="edit" aspectratio="f"/>
              </v:shape>
            </w:pict>
          </mc:Fallback>
        </mc:AlternateContent>
      </w:r>
      <w:r>
        <w:rPr>
          <w:rFonts w:hint="eastAsia"/>
          <w:color w:val="000000"/>
          <w:sz w:val="28"/>
          <w:szCs w:val="28"/>
        </w:rPr>
        <w:t>项目名称： 西安市地下综合管廊建设PPP项目绩效评价咨询服务项目</w:t>
      </w:r>
    </w:p>
    <w:p w14:paraId="544DCF42">
      <w:pPr>
        <w:rPr>
          <w:color w:val="000000"/>
          <w:sz w:val="28"/>
          <w:szCs w:val="28"/>
        </w:rPr>
      </w:pPr>
      <w:r>
        <w:rPr>
          <w:sz w:val="28"/>
          <w:szCs w:val="28"/>
        </w:rPr>
        <mc:AlternateContent>
          <mc:Choice Requires="wps">
            <w:drawing>
              <wp:anchor distT="0" distB="0" distL="114300" distR="114300" simplePos="0" relativeHeight="251660288" behindDoc="0" locked="0" layoutInCell="1" allowOverlap="1">
                <wp:simplePos x="0" y="0"/>
                <wp:positionH relativeFrom="column">
                  <wp:posOffset>981710</wp:posOffset>
                </wp:positionH>
                <wp:positionV relativeFrom="paragraph">
                  <wp:posOffset>345440</wp:posOffset>
                </wp:positionV>
                <wp:extent cx="4400550" cy="9525"/>
                <wp:effectExtent l="0" t="0" r="0" b="0"/>
                <wp:wrapNone/>
                <wp:docPr id="1" name="直接箭头连接符 1"/>
                <wp:cNvGraphicFramePr/>
                <a:graphic xmlns:a="http://schemas.openxmlformats.org/drawingml/2006/main">
                  <a:graphicData uri="http://schemas.microsoft.com/office/word/2010/wordprocessingShape">
                    <wps:wsp>
                      <wps:cNvCnPr/>
                      <wps:spPr>
                        <a:xfrm>
                          <a:off x="0" y="0"/>
                          <a:ext cx="4400550" cy="9525"/>
                        </a:xfrm>
                        <a:prstGeom prst="straightConnector1">
                          <a:avLst/>
                        </a:prstGeom>
                        <a:ln w="12700"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77.3pt;margin-top:27.2pt;height:0.75pt;width:346.5pt;z-index:251660288;mso-width-relative:page;mso-height-relative:page;" filled="f" stroked="t" coordsize="21600,21600" o:gfxdata="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8gU8l1AAAAAkBAAAPAAAAAAAAAAEAIAAAACIAAABkcnMvZG93bnJldi54&#10;bWxQSwECFAAUAAAACACHTuJA46kMM/4BAADwAwAADgAAAAAAAAABACAAAAAjAQAAZHJzL2Uyb0Rv&#10;Yy54bWxQSwUGAAAAAAYABgBZAQAAkwUAAAAA&#10;">
                <v:fill on="f" focussize="0,0"/>
                <v:stroke weight="1pt" color="#000000" joinstyle="round"/>
                <v:imagedata o:title=""/>
                <o:lock v:ext="edit" aspectratio="f"/>
              </v:shape>
            </w:pict>
          </mc:Fallback>
        </mc:AlternateContent>
      </w:r>
      <w:r>
        <w:rPr>
          <w:rFonts w:hint="eastAsia"/>
          <w:sz w:val="28"/>
          <w:szCs w:val="28"/>
        </w:rPr>
        <w:t>采 购 人</w:t>
      </w:r>
      <w:r>
        <w:rPr>
          <w:rFonts w:hint="eastAsia"/>
          <w:color w:val="000000"/>
          <w:sz w:val="28"/>
          <w:szCs w:val="28"/>
        </w:rPr>
        <w:t>： 西安市住房和城乡建设局</w:t>
      </w:r>
    </w:p>
    <w:p w14:paraId="48150904">
      <w:pPr>
        <w:rPr>
          <w:color w:val="000000"/>
          <w:sz w:val="28"/>
          <w:szCs w:val="28"/>
        </w:rPr>
      </w:pPr>
      <w:r>
        <w:rPr>
          <w:sz w:val="28"/>
          <w:szCs w:val="28"/>
        </w:rPr>
        <mc:AlternateContent>
          <mc:Choice Requires="wps">
            <w:drawing>
              <wp:anchor distT="0" distB="0" distL="114300" distR="114300" simplePos="0" relativeHeight="251661312" behindDoc="0" locked="0" layoutInCell="1" allowOverlap="1">
                <wp:simplePos x="0" y="0"/>
                <wp:positionH relativeFrom="column">
                  <wp:posOffset>981075</wp:posOffset>
                </wp:positionH>
                <wp:positionV relativeFrom="paragraph">
                  <wp:posOffset>345440</wp:posOffset>
                </wp:positionV>
                <wp:extent cx="4400550" cy="9525"/>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4400550" cy="9525"/>
                        </a:xfrm>
                        <a:prstGeom prst="straightConnector1">
                          <a:avLst/>
                        </a:prstGeom>
                        <a:ln w="12700"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77.25pt;margin-top:27.2pt;height:0.75pt;width:346.5pt;z-index:251661312;mso-width-relative:page;mso-height-relative:page;" filled="f" stroked="t" coordsize="21600,21600" o:gfxdata="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Z5KPo1AAAAAkBAAAPAAAAAAAAAAEAIAAAACIAAABkcnMvZG93bnJldi54&#10;bWxQSwECFAAUAAAACACHTuJAKjli4/4BAADwAwAADgAAAAAAAAABACAAAAAjAQAAZHJzL2Uyb0Rv&#10;Yy54bWxQSwUGAAAAAAYABgBZAQAAkwUAAAAA&#10;">
                <v:fill on="f" focussize="0,0"/>
                <v:stroke weight="1pt" color="#000000" joinstyle="round"/>
                <v:imagedata o:title=""/>
                <o:lock v:ext="edit" aspectratio="f"/>
              </v:shape>
            </w:pict>
          </mc:Fallback>
        </mc:AlternateContent>
      </w:r>
      <w:r>
        <w:rPr>
          <w:rFonts w:hint="eastAsia"/>
          <w:color w:val="000000"/>
          <w:sz w:val="28"/>
          <w:szCs w:val="28"/>
        </w:rPr>
        <w:t xml:space="preserve">供 应 商：  </w:t>
      </w:r>
    </w:p>
    <w:p w14:paraId="6A07C9D3">
      <w:pPr>
        <w:rPr>
          <w:color w:val="000000"/>
          <w:sz w:val="28"/>
          <w:szCs w:val="28"/>
        </w:rPr>
      </w:pPr>
      <w:r>
        <w:rPr>
          <w:sz w:val="28"/>
          <w:szCs w:val="28"/>
        </w:rPr>
        <mc:AlternateContent>
          <mc:Choice Requires="wps">
            <w:drawing>
              <wp:anchor distT="0" distB="0" distL="114300" distR="114300" simplePos="0" relativeHeight="251662336" behindDoc="0" locked="0" layoutInCell="1" allowOverlap="1">
                <wp:simplePos x="0" y="0"/>
                <wp:positionH relativeFrom="column">
                  <wp:posOffset>981075</wp:posOffset>
                </wp:positionH>
                <wp:positionV relativeFrom="paragraph">
                  <wp:posOffset>337820</wp:posOffset>
                </wp:positionV>
                <wp:extent cx="4400550" cy="9525"/>
                <wp:effectExtent l="0" t="0" r="0" b="0"/>
                <wp:wrapNone/>
                <wp:docPr id="4" name="直接箭头连接符 4"/>
                <wp:cNvGraphicFramePr/>
                <a:graphic xmlns:a="http://schemas.openxmlformats.org/drawingml/2006/main">
                  <a:graphicData uri="http://schemas.microsoft.com/office/word/2010/wordprocessingShape">
                    <wps:wsp>
                      <wps:cNvCnPr/>
                      <wps:spPr>
                        <a:xfrm>
                          <a:off x="0" y="0"/>
                          <a:ext cx="4400550" cy="9525"/>
                        </a:xfrm>
                        <a:prstGeom prst="straightConnector1">
                          <a:avLst/>
                        </a:prstGeom>
                        <a:ln w="12700"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77.25pt;margin-top:26.6pt;height:0.75pt;width:346.5pt;z-index:251662336;mso-width-relative:page;mso-height-relative:page;" filled="f" stroked="t" coordsize="21600,21600" o:gfxdata="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qV0vk1AAAAAkBAAAPAAAAAAAAAAEAIAAAACIAAABkcnMvZG93bnJldi54&#10;bWxQSwECFAAUAAAACACHTuJA+R7OmP4BAADwAwAADgAAAAAAAAABACAAAAAjAQAAZHJzL2Uyb0Rv&#10;Yy54bWxQSwUGAAAAAAYABgBZAQAAkwUAAAAA&#10;">
                <v:fill on="f" focussize="0,0"/>
                <v:stroke weight="1pt" color="#000000" joinstyle="round"/>
                <v:imagedata o:title=""/>
                <o:lock v:ext="edit" aspectratio="f"/>
              </v:shape>
            </w:pict>
          </mc:Fallback>
        </mc:AlternateContent>
      </w:r>
      <w:r>
        <w:rPr>
          <w:rFonts w:hint="eastAsia"/>
          <w:color w:val="000000"/>
          <w:sz w:val="28"/>
          <w:szCs w:val="28"/>
        </w:rPr>
        <w:t xml:space="preserve">签订日期：    </w:t>
      </w:r>
    </w:p>
    <w:p w14:paraId="47D688A8">
      <w:pPr>
        <w:rPr>
          <w:color w:val="000000"/>
          <w:sz w:val="28"/>
          <w:szCs w:val="28"/>
        </w:rPr>
      </w:pPr>
      <w:r>
        <w:rPr>
          <w:sz w:val="28"/>
          <w:szCs w:val="28"/>
        </w:rPr>
        <mc:AlternateContent>
          <mc:Choice Requires="wps">
            <w:drawing>
              <wp:anchor distT="0" distB="0" distL="114300" distR="114300" simplePos="0" relativeHeight="251663360" behindDoc="0" locked="0" layoutInCell="1" allowOverlap="1">
                <wp:simplePos x="0" y="0"/>
                <wp:positionH relativeFrom="column">
                  <wp:posOffset>981075</wp:posOffset>
                </wp:positionH>
                <wp:positionV relativeFrom="paragraph">
                  <wp:posOffset>344170</wp:posOffset>
                </wp:positionV>
                <wp:extent cx="4400550" cy="9525"/>
                <wp:effectExtent l="0" t="0" r="0" b="0"/>
                <wp:wrapNone/>
                <wp:docPr id="5" name="直接箭头连接符 5"/>
                <wp:cNvGraphicFramePr/>
                <a:graphic xmlns:a="http://schemas.openxmlformats.org/drawingml/2006/main">
                  <a:graphicData uri="http://schemas.microsoft.com/office/word/2010/wordprocessingShape">
                    <wps:wsp>
                      <wps:cNvCnPr/>
                      <wps:spPr>
                        <a:xfrm>
                          <a:off x="0" y="0"/>
                          <a:ext cx="4400550" cy="9525"/>
                        </a:xfrm>
                        <a:prstGeom prst="straightConnector1">
                          <a:avLst/>
                        </a:prstGeom>
                        <a:ln w="12700"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77.25pt;margin-top:27.1pt;height:0.75pt;width:346.5pt;z-index:251663360;mso-width-relative:page;mso-height-relative:page;" filled="f" stroked="t" coordsize="21600,21600" o:gfxdata="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HMFHrXUAAAACQEAAA8AAAAAAAAAAQAgAAAAIgAAAGRycy9kb3ducmV2&#10;LnhtbFBLAQIUABQAAAAIAIdO4kC+bhTXAAIAAPADAAAOAAAAAAAAAAEAIAAAACMBAABkcnMvZTJv&#10;RG9jLnhtbFBLBQYAAAAABgAGAFkBAACVBQAAAAA=&#10;">
                <v:fill on="f" focussize="0,0"/>
                <v:stroke weight="1pt" color="#000000" joinstyle="round"/>
                <v:imagedata o:title=""/>
                <o:lock v:ext="edit" aspectratio="f"/>
              </v:shape>
            </w:pict>
          </mc:Fallback>
        </mc:AlternateContent>
      </w:r>
      <w:r>
        <w:rPr>
          <w:rFonts w:hint="eastAsia"/>
          <w:color w:val="000000"/>
          <w:sz w:val="28"/>
          <w:szCs w:val="28"/>
        </w:rPr>
        <w:t xml:space="preserve">签订地点：   </w:t>
      </w:r>
    </w:p>
    <w:p w14:paraId="0C45692E">
      <w:pPr>
        <w:rPr>
          <w:color w:val="000000"/>
          <w:sz w:val="36"/>
          <w:szCs w:val="32"/>
        </w:rPr>
        <w:sectPr>
          <w:pgSz w:w="11906" w:h="16838"/>
          <w:pgMar w:top="2098" w:right="1474" w:bottom="1984" w:left="1587" w:header="851" w:footer="992" w:gutter="0"/>
          <w:pgNumType w:start="0"/>
          <w:cols w:space="720" w:num="1"/>
          <w:docGrid w:type="lines" w:linePitch="312" w:charSpace="0"/>
        </w:sectPr>
      </w:pPr>
    </w:p>
    <w:bookmarkEnd w:id="0"/>
    <w:bookmarkEnd w:id="1"/>
    <w:bookmarkEnd w:id="2"/>
    <w:bookmarkEnd w:id="3"/>
    <w:bookmarkEnd w:id="4"/>
    <w:p w14:paraId="5DE0BC83">
      <w:pPr>
        <w:rPr>
          <w:color w:val="000000"/>
          <w:sz w:val="30"/>
          <w:szCs w:val="30"/>
        </w:rPr>
      </w:pPr>
      <w:r>
        <w:rPr>
          <w:rFonts w:hint="eastAsia"/>
          <w:color w:val="000000"/>
          <w:sz w:val="30"/>
          <w:szCs w:val="30"/>
        </w:rPr>
        <w:t>甲方（聘用方）：</w:t>
      </w:r>
      <w:r>
        <w:rPr>
          <w:rFonts w:hint="eastAsia"/>
          <w:color w:val="000000"/>
          <w:sz w:val="30"/>
          <w:szCs w:val="30"/>
          <w:u w:val="single"/>
        </w:rPr>
        <w:t xml:space="preserve">西安市住房和城乡建设局            </w:t>
      </w:r>
    </w:p>
    <w:p w14:paraId="11ACCD47">
      <w:pPr>
        <w:rPr>
          <w:color w:val="000000"/>
          <w:sz w:val="30"/>
          <w:szCs w:val="30"/>
        </w:rPr>
      </w:pPr>
      <w:r>
        <w:rPr>
          <w:rFonts w:hint="eastAsia"/>
          <w:color w:val="000000"/>
          <w:sz w:val="30"/>
          <w:szCs w:val="30"/>
        </w:rPr>
        <w:t>乙方（受聘方）：</w:t>
      </w:r>
      <w:r>
        <w:rPr>
          <w:rFonts w:hint="eastAsia"/>
          <w:color w:val="000000"/>
          <w:sz w:val="30"/>
          <w:szCs w:val="30"/>
          <w:u w:val="single"/>
        </w:rPr>
        <w:t xml:space="preserve">                                  </w:t>
      </w:r>
    </w:p>
    <w:p w14:paraId="2D4BCE8C">
      <w:pPr>
        <w:ind w:firstLine="600" w:firstLineChars="200"/>
        <w:rPr>
          <w:color w:val="000000"/>
          <w:sz w:val="30"/>
          <w:szCs w:val="30"/>
        </w:rPr>
      </w:pPr>
      <w:r>
        <w:rPr>
          <w:rFonts w:hint="eastAsia"/>
          <w:color w:val="000000"/>
          <w:sz w:val="30"/>
          <w:szCs w:val="30"/>
        </w:rPr>
        <w:t>根据《中华人民共和国民法典》和其他有关法律、法规，甲乙双方本着平等自愿、诚实守信的原则，经友好协商一致，甲方就</w:t>
      </w:r>
      <w:r>
        <w:rPr>
          <w:rFonts w:hint="eastAsia"/>
          <w:color w:val="000000"/>
          <w:sz w:val="30"/>
          <w:szCs w:val="30"/>
          <w:u w:val="single"/>
        </w:rPr>
        <w:t>西安市地下综合管廊建设PPP项目绩效评价咨询服务项目</w:t>
      </w:r>
      <w:r>
        <w:rPr>
          <w:rFonts w:hint="eastAsia"/>
          <w:color w:val="000000"/>
          <w:sz w:val="30"/>
          <w:szCs w:val="30"/>
        </w:rPr>
        <w:t>，聘请乙方协助开展咨询服务，按下述条款签订本合同。</w:t>
      </w:r>
    </w:p>
    <w:p w14:paraId="503F9BB6">
      <w:pPr>
        <w:ind w:firstLine="600" w:firstLineChars="200"/>
        <w:outlineLvl w:val="0"/>
        <w:rPr>
          <w:b/>
          <w:bCs/>
          <w:color w:val="000000"/>
          <w:sz w:val="30"/>
          <w:szCs w:val="30"/>
        </w:rPr>
      </w:pPr>
      <w:r>
        <w:rPr>
          <w:rFonts w:hint="eastAsia"/>
          <w:b/>
          <w:bCs/>
          <w:color w:val="000000"/>
          <w:sz w:val="30"/>
          <w:szCs w:val="30"/>
        </w:rPr>
        <w:t>第一条  服务内容</w:t>
      </w:r>
    </w:p>
    <w:p w14:paraId="33458091">
      <w:pPr>
        <w:ind w:firstLine="600" w:firstLineChars="200"/>
        <w:rPr>
          <w:sz w:val="30"/>
          <w:szCs w:val="30"/>
        </w:rPr>
      </w:pPr>
      <w:r>
        <w:rPr>
          <w:rFonts w:hint="eastAsia"/>
          <w:color w:val="000000"/>
          <w:sz w:val="30"/>
          <w:szCs w:val="30"/>
        </w:rPr>
        <w:t>乙方利用其在PPP项目咨询服务上的专业力量和经验，为甲方提供（包含但</w:t>
      </w:r>
      <w:r>
        <w:rPr>
          <w:rFonts w:hint="eastAsia"/>
          <w:sz w:val="30"/>
          <w:szCs w:val="30"/>
        </w:rPr>
        <w:t>不仅限于）以下咨询服务：</w:t>
      </w:r>
    </w:p>
    <w:p w14:paraId="0C62004A">
      <w:pPr>
        <w:pStyle w:val="2"/>
        <w:ind w:firstLine="600"/>
        <w:outlineLvl w:val="1"/>
        <w:rPr>
          <w:rFonts w:ascii="宋体" w:hAnsi="宋体"/>
          <w:sz w:val="30"/>
          <w:szCs w:val="30"/>
        </w:rPr>
      </w:pPr>
      <w:r>
        <w:rPr>
          <w:rFonts w:ascii="宋体" w:hAnsi="宋体"/>
          <w:sz w:val="30"/>
          <w:szCs w:val="30"/>
        </w:rPr>
        <w:t>（</w:t>
      </w:r>
      <w:r>
        <w:rPr>
          <w:rFonts w:hint="eastAsia" w:ascii="宋体" w:hAnsi="宋体"/>
          <w:sz w:val="30"/>
          <w:szCs w:val="30"/>
        </w:rPr>
        <w:t>一</w:t>
      </w:r>
      <w:r>
        <w:rPr>
          <w:rFonts w:ascii="宋体" w:hAnsi="宋体"/>
          <w:sz w:val="30"/>
          <w:szCs w:val="30"/>
        </w:rPr>
        <w:t>）</w:t>
      </w:r>
      <w:r>
        <w:rPr>
          <w:rFonts w:hint="eastAsia" w:ascii="宋体" w:hAnsi="宋体"/>
          <w:sz w:val="30"/>
          <w:szCs w:val="30"/>
        </w:rPr>
        <w:t>运营期考核</w:t>
      </w:r>
    </w:p>
    <w:p w14:paraId="26B1C08B">
      <w:pPr>
        <w:pStyle w:val="2"/>
        <w:ind w:firstLine="600"/>
        <w:rPr>
          <w:rFonts w:ascii="宋体" w:hAnsi="宋体"/>
          <w:sz w:val="30"/>
          <w:szCs w:val="30"/>
        </w:rPr>
      </w:pPr>
      <w:r>
        <w:rPr>
          <w:rFonts w:hint="eastAsia" w:ascii="宋体" w:hAnsi="宋体"/>
          <w:sz w:val="30"/>
          <w:szCs w:val="30"/>
        </w:rPr>
        <w:t>依据中、省、市政府和社会资本合作（PPP）项目绩效管理相关规定及地下综合管廊建设PPP项目运营期绩效评价工作方案，协助实施机构开展季度（4次）和年度（1次）运营期绩效评价相关工作，完成评价报告，核算政府支出。其中年度考核可以和季度考核同步开展；</w:t>
      </w:r>
    </w:p>
    <w:p w14:paraId="0C346E0A">
      <w:pPr>
        <w:pStyle w:val="2"/>
        <w:ind w:firstLine="602"/>
        <w:rPr>
          <w:rFonts w:ascii="宋体" w:hAnsi="宋体"/>
          <w:b/>
          <w:bCs/>
          <w:sz w:val="30"/>
          <w:szCs w:val="30"/>
        </w:rPr>
      </w:pPr>
      <w:r>
        <w:rPr>
          <w:rFonts w:ascii="宋体" w:hAnsi="宋体"/>
          <w:b/>
          <w:bCs/>
          <w:sz w:val="30"/>
          <w:szCs w:val="30"/>
        </w:rPr>
        <w:t>成果性文件：</w:t>
      </w:r>
      <w:r>
        <w:rPr>
          <w:rFonts w:hint="eastAsia" w:ascii="宋体" w:hAnsi="宋体"/>
          <w:b/>
          <w:bCs/>
          <w:sz w:val="30"/>
          <w:szCs w:val="30"/>
        </w:rPr>
        <w:t>向甲方提交经乙方公司盖章的相关季度及年度的《运营期绩效评价报告》。（如后期PPP项目政策出现新变化，则需按照最新政策要求报有关单位审核通过）。</w:t>
      </w:r>
    </w:p>
    <w:p w14:paraId="526E2B6E">
      <w:pPr>
        <w:pStyle w:val="2"/>
        <w:ind w:firstLine="600"/>
        <w:outlineLvl w:val="1"/>
        <w:rPr>
          <w:rFonts w:ascii="宋体" w:hAnsi="宋体"/>
          <w:sz w:val="30"/>
          <w:szCs w:val="30"/>
        </w:rPr>
      </w:pPr>
      <w:r>
        <w:rPr>
          <w:rFonts w:hint="eastAsia" w:ascii="宋体" w:hAnsi="宋体"/>
          <w:sz w:val="30"/>
          <w:szCs w:val="30"/>
        </w:rPr>
        <w:t>（二）运营期临时考核</w:t>
      </w:r>
    </w:p>
    <w:p w14:paraId="678504D5">
      <w:pPr>
        <w:pStyle w:val="2"/>
        <w:ind w:firstLine="600"/>
        <w:rPr>
          <w:rFonts w:ascii="宋体" w:hAnsi="宋体"/>
          <w:sz w:val="30"/>
          <w:szCs w:val="30"/>
        </w:rPr>
      </w:pPr>
      <w:r>
        <w:rPr>
          <w:rFonts w:hint="eastAsia" w:ascii="宋体" w:hAnsi="宋体"/>
          <w:sz w:val="30"/>
          <w:szCs w:val="30"/>
        </w:rPr>
        <w:t>根据甲方需求，乙方协助甲方</w:t>
      </w:r>
      <w:r>
        <w:rPr>
          <w:rFonts w:hint="eastAsia" w:ascii="宋体" w:hAnsi="宋体"/>
          <w:sz w:val="30"/>
          <w:szCs w:val="30"/>
          <w:lang w:eastAsia="zh-Hans"/>
        </w:rPr>
        <w:t>每月不定期开展临时考核，</w:t>
      </w:r>
      <w:r>
        <w:rPr>
          <w:rFonts w:hint="eastAsia" w:ascii="宋体" w:hAnsi="宋体"/>
          <w:sz w:val="30"/>
          <w:szCs w:val="30"/>
        </w:rPr>
        <w:t>整理当月</w:t>
      </w:r>
      <w:r>
        <w:rPr>
          <w:rFonts w:hint="eastAsia" w:ascii="宋体" w:hAnsi="宋体"/>
          <w:sz w:val="30"/>
          <w:szCs w:val="30"/>
          <w:lang w:eastAsia="zh-Hans"/>
        </w:rPr>
        <w:t>临时考核情况报告报实施机构，并督促项目公司整改问题</w:t>
      </w:r>
      <w:r>
        <w:rPr>
          <w:rFonts w:hint="eastAsia" w:ascii="宋体" w:hAnsi="宋体"/>
          <w:color w:val="0000FF"/>
          <w:sz w:val="30"/>
          <w:szCs w:val="30"/>
        </w:rPr>
        <w:t>。</w:t>
      </w:r>
    </w:p>
    <w:p w14:paraId="75175277">
      <w:pPr>
        <w:ind w:firstLine="600" w:firstLineChars="200"/>
        <w:outlineLvl w:val="1"/>
        <w:rPr>
          <w:color w:val="000000"/>
          <w:sz w:val="30"/>
          <w:szCs w:val="30"/>
        </w:rPr>
      </w:pPr>
      <w:r>
        <w:rPr>
          <w:rFonts w:hint="eastAsia"/>
          <w:color w:val="000000"/>
          <w:sz w:val="30"/>
          <w:szCs w:val="30"/>
        </w:rPr>
        <w:t>（三）为甲方提供PPP</w:t>
      </w:r>
      <w:r>
        <w:rPr>
          <w:rFonts w:hint="eastAsia" w:ascii="宋体" w:hAnsi="宋体"/>
          <w:sz w:val="30"/>
          <w:szCs w:val="30"/>
        </w:rPr>
        <w:t>相关政策咨询等服务</w:t>
      </w:r>
      <w:r>
        <w:rPr>
          <w:rFonts w:hint="eastAsia"/>
          <w:color w:val="000000"/>
          <w:sz w:val="30"/>
          <w:szCs w:val="30"/>
        </w:rPr>
        <w:t>。</w:t>
      </w:r>
    </w:p>
    <w:p w14:paraId="1AC39F6F">
      <w:pPr>
        <w:ind w:firstLine="600" w:firstLineChars="200"/>
        <w:outlineLvl w:val="0"/>
        <w:rPr>
          <w:b/>
          <w:bCs/>
          <w:color w:val="000000"/>
          <w:sz w:val="30"/>
          <w:szCs w:val="30"/>
        </w:rPr>
      </w:pPr>
      <w:r>
        <w:rPr>
          <w:rFonts w:hint="eastAsia"/>
          <w:b/>
          <w:bCs/>
          <w:color w:val="000000"/>
          <w:sz w:val="30"/>
          <w:szCs w:val="30"/>
        </w:rPr>
        <w:t>第二条  服务期限</w:t>
      </w:r>
    </w:p>
    <w:p w14:paraId="5DC83712">
      <w:pPr>
        <w:pStyle w:val="2"/>
        <w:ind w:firstLine="600"/>
        <w:rPr>
          <w:rFonts w:ascii="宋体" w:hAnsi="宋体"/>
          <w:sz w:val="30"/>
          <w:szCs w:val="30"/>
        </w:rPr>
      </w:pPr>
      <w:r>
        <w:rPr>
          <w:rFonts w:hint="eastAsia" w:ascii="宋体" w:hAnsi="宋体"/>
          <w:sz w:val="30"/>
          <w:szCs w:val="30"/>
        </w:rPr>
        <w:t>本合同服务期限自签订之日起至乙方完成全部工作内容止（如后期PPP项目政策出现新变化，则按照最新政策要求报有关单位审核通过之日止）。</w:t>
      </w:r>
    </w:p>
    <w:p w14:paraId="64F58DE5">
      <w:pPr>
        <w:ind w:firstLine="600" w:firstLineChars="200"/>
        <w:outlineLvl w:val="0"/>
        <w:rPr>
          <w:b/>
          <w:bCs/>
          <w:color w:val="000000"/>
          <w:sz w:val="30"/>
          <w:szCs w:val="30"/>
        </w:rPr>
      </w:pPr>
      <w:r>
        <w:rPr>
          <w:rFonts w:hint="eastAsia"/>
          <w:b/>
          <w:bCs/>
          <w:color w:val="000000"/>
          <w:sz w:val="30"/>
          <w:szCs w:val="30"/>
        </w:rPr>
        <w:t>第三条  服务费用</w:t>
      </w:r>
    </w:p>
    <w:p w14:paraId="3B517AA9">
      <w:pPr>
        <w:ind w:firstLine="600" w:firstLineChars="200"/>
        <w:rPr>
          <w:color w:val="000000"/>
          <w:sz w:val="30"/>
          <w:szCs w:val="30"/>
        </w:rPr>
      </w:pPr>
      <w:r>
        <w:rPr>
          <w:rFonts w:hint="eastAsia"/>
          <w:color w:val="000000"/>
          <w:sz w:val="30"/>
          <w:szCs w:val="30"/>
        </w:rPr>
        <w:t>本项目咨询服务费共计人民币（大写）</w:t>
      </w:r>
      <w:r>
        <w:rPr>
          <w:rFonts w:hint="eastAsia"/>
          <w:color w:val="000000"/>
          <w:sz w:val="30"/>
          <w:szCs w:val="30"/>
          <w:u w:val="single"/>
        </w:rPr>
        <w:t xml:space="preserve">           </w:t>
      </w:r>
      <w:r>
        <w:rPr>
          <w:color w:val="000000"/>
          <w:sz w:val="30"/>
          <w:szCs w:val="30"/>
          <w:u w:val="single"/>
        </w:rPr>
        <w:t>（</w:t>
      </w:r>
      <w:r>
        <w:rPr>
          <w:rFonts w:hint="eastAsia"/>
          <w:color w:val="000000"/>
          <w:sz w:val="30"/>
          <w:szCs w:val="30"/>
          <w:u w:val="single"/>
        </w:rPr>
        <w:t xml:space="preserve">¥     </w:t>
      </w:r>
      <w:r>
        <w:rPr>
          <w:color w:val="000000"/>
          <w:sz w:val="30"/>
          <w:szCs w:val="30"/>
          <w:u w:val="single"/>
        </w:rPr>
        <w:t>）</w:t>
      </w:r>
      <w:r>
        <w:rPr>
          <w:rFonts w:hint="eastAsia"/>
          <w:color w:val="000000"/>
          <w:sz w:val="30"/>
          <w:szCs w:val="30"/>
        </w:rPr>
        <w:t>。该费用包含且不限于服务费、印刷费、交通费、税金和组织专家评审等乙方履行本协议产生的全部费用，甲方不再承担其他任何费用。不包含各种形式的项目考察费。</w:t>
      </w:r>
    </w:p>
    <w:p w14:paraId="3FDB7186">
      <w:pPr>
        <w:ind w:firstLine="600" w:firstLineChars="200"/>
        <w:outlineLvl w:val="0"/>
        <w:rPr>
          <w:b/>
          <w:bCs/>
          <w:color w:val="000000"/>
          <w:sz w:val="30"/>
          <w:szCs w:val="30"/>
        </w:rPr>
      </w:pPr>
      <w:r>
        <w:rPr>
          <w:rFonts w:hint="eastAsia"/>
          <w:b/>
          <w:bCs/>
          <w:color w:val="000000"/>
          <w:sz w:val="30"/>
          <w:szCs w:val="30"/>
        </w:rPr>
        <w:t>第四条  费用支付</w:t>
      </w:r>
    </w:p>
    <w:p w14:paraId="609EEA22">
      <w:pPr>
        <w:ind w:firstLine="600" w:firstLineChars="200"/>
        <w:outlineLvl w:val="1"/>
        <w:rPr>
          <w:rFonts w:ascii="宋体" w:hAnsi="宋体" w:eastAsia="宋体" w:cs="宋体"/>
          <w:color w:val="0729D5"/>
          <w:sz w:val="30"/>
          <w:szCs w:val="30"/>
        </w:rPr>
      </w:pPr>
      <w:r>
        <w:rPr>
          <w:rFonts w:hint="eastAsia"/>
          <w:color w:val="000000"/>
          <w:sz w:val="30"/>
          <w:szCs w:val="30"/>
        </w:rPr>
        <w:t>（一）付款节点和比例</w:t>
      </w:r>
    </w:p>
    <w:p w14:paraId="4B890CFE">
      <w:pPr>
        <w:pStyle w:val="21"/>
        <w:ind w:firstLine="300" w:firstLineChars="100"/>
        <w:rPr>
          <w:rFonts w:hint="default" w:ascii="宋体" w:hAnsi="宋体" w:eastAsia="宋体" w:cs="宋体"/>
          <w:sz w:val="30"/>
          <w:szCs w:val="30"/>
          <w:lang w:eastAsia="zh-CN"/>
        </w:rPr>
      </w:pPr>
      <w:r>
        <w:rPr>
          <w:rFonts w:ascii="宋体" w:hAnsi="宋体" w:eastAsia="宋体" w:cs="宋体"/>
          <w:color w:val="0729D5"/>
          <w:sz w:val="30"/>
          <w:szCs w:val="30"/>
          <w:lang w:eastAsia="zh-CN"/>
        </w:rPr>
        <w:t xml:space="preserve"> </w:t>
      </w:r>
      <w:r>
        <w:rPr>
          <w:rFonts w:ascii="宋体" w:hAnsi="宋体" w:eastAsia="宋体" w:cs="宋体"/>
          <w:sz w:val="30"/>
          <w:szCs w:val="30"/>
          <w:lang w:eastAsia="zh-CN"/>
        </w:rPr>
        <w:t xml:space="preserve">   </w:t>
      </w:r>
      <w:r>
        <w:rPr>
          <w:rFonts w:ascii="宋体" w:hAnsi="宋体" w:eastAsia="宋体" w:cs="宋体"/>
          <w:sz w:val="30"/>
          <w:szCs w:val="30"/>
        </w:rPr>
        <w:t>供应商完成西安市地下综合管廊建设PPP项目2026运营年第一季度、第二季度绩效评价工作并提交《运营期绩效评价报告》后30日内，支付合同总金额的50.00%</w:t>
      </w:r>
      <w:r>
        <w:rPr>
          <w:rFonts w:ascii="宋体" w:hAnsi="宋体" w:eastAsia="宋体" w:cs="宋体"/>
          <w:sz w:val="30"/>
          <w:szCs w:val="30"/>
          <w:lang w:eastAsia="zh-CN"/>
        </w:rPr>
        <w:t>，即支付人民币</w:t>
      </w:r>
      <w:r>
        <w:rPr>
          <w:rFonts w:ascii="宋体" w:hAnsi="宋体" w:eastAsia="宋体" w:cs="宋体"/>
          <w:sz w:val="30"/>
          <w:szCs w:val="30"/>
        </w:rPr>
        <w:t>（大写）</w:t>
      </w:r>
      <w:r>
        <w:rPr>
          <w:rFonts w:ascii="宋体" w:hAnsi="宋体" w:eastAsia="宋体" w:cs="宋体"/>
          <w:sz w:val="30"/>
          <w:szCs w:val="30"/>
          <w:u w:val="single"/>
          <w:lang w:eastAsia="zh-CN"/>
        </w:rPr>
        <w:t xml:space="preserve">           </w:t>
      </w:r>
      <w:r>
        <w:rPr>
          <w:rFonts w:ascii="宋体" w:hAnsi="宋体" w:eastAsia="宋体" w:cs="宋体"/>
          <w:sz w:val="30"/>
          <w:szCs w:val="30"/>
          <w:u w:val="single"/>
        </w:rPr>
        <w:t>（¥</w:t>
      </w:r>
      <w:r>
        <w:rPr>
          <w:rFonts w:ascii="宋体" w:hAnsi="宋体" w:eastAsia="宋体" w:cs="宋体"/>
          <w:sz w:val="30"/>
          <w:szCs w:val="30"/>
          <w:u w:val="single"/>
          <w:lang w:eastAsia="zh-CN"/>
        </w:rPr>
        <w:t xml:space="preserve">     </w:t>
      </w:r>
      <w:r>
        <w:rPr>
          <w:rFonts w:ascii="宋体" w:hAnsi="宋体" w:eastAsia="宋体" w:cs="宋体"/>
          <w:sz w:val="30"/>
          <w:szCs w:val="30"/>
          <w:u w:val="single"/>
        </w:rPr>
        <w:t>）</w:t>
      </w:r>
      <w:r>
        <w:rPr>
          <w:rFonts w:ascii="宋体" w:hAnsi="宋体" w:eastAsia="宋体" w:cs="宋体"/>
          <w:sz w:val="30"/>
          <w:szCs w:val="30"/>
          <w:lang w:eastAsia="zh-CN"/>
        </w:rPr>
        <w:t>；</w:t>
      </w:r>
    </w:p>
    <w:p w14:paraId="63C442AA">
      <w:pPr>
        <w:pStyle w:val="21"/>
        <w:ind w:firstLine="300" w:firstLineChars="100"/>
        <w:rPr>
          <w:rFonts w:hint="default" w:ascii="宋体" w:hAnsi="宋体" w:eastAsia="宋体" w:cs="宋体"/>
          <w:sz w:val="30"/>
          <w:szCs w:val="30"/>
          <w:lang w:eastAsia="zh-CN"/>
        </w:rPr>
      </w:pPr>
      <w:r>
        <w:rPr>
          <w:rFonts w:ascii="宋体" w:hAnsi="宋体" w:eastAsia="宋体" w:cs="宋体"/>
          <w:sz w:val="30"/>
          <w:szCs w:val="30"/>
          <w:lang w:eastAsia="zh-CN"/>
        </w:rPr>
        <w:t xml:space="preserve">   供应商</w:t>
      </w:r>
      <w:r>
        <w:rPr>
          <w:rFonts w:ascii="宋体" w:hAnsi="宋体" w:eastAsia="宋体" w:cs="宋体"/>
          <w:sz w:val="30"/>
          <w:szCs w:val="30"/>
        </w:rPr>
        <w:t>提交第三季度、第四季度和2026运营年年度《运营期绩效评价报告》后30日内，支付合同总金额的50.00%</w:t>
      </w:r>
      <w:r>
        <w:rPr>
          <w:rFonts w:ascii="宋体" w:hAnsi="宋体" w:eastAsia="宋体" w:cs="宋体"/>
          <w:sz w:val="30"/>
          <w:szCs w:val="30"/>
          <w:lang w:eastAsia="zh-CN"/>
        </w:rPr>
        <w:t>，即支付人民币</w:t>
      </w:r>
      <w:r>
        <w:rPr>
          <w:rFonts w:ascii="宋体" w:hAnsi="宋体" w:eastAsia="宋体" w:cs="宋体"/>
          <w:sz w:val="30"/>
          <w:szCs w:val="30"/>
        </w:rPr>
        <w:t>（大写）</w:t>
      </w:r>
      <w:r>
        <w:rPr>
          <w:rFonts w:ascii="宋体" w:hAnsi="宋体" w:eastAsia="宋体" w:cs="宋体"/>
          <w:sz w:val="30"/>
          <w:szCs w:val="30"/>
          <w:u w:val="single"/>
          <w:lang w:eastAsia="zh-CN"/>
        </w:rPr>
        <w:t xml:space="preserve">           </w:t>
      </w:r>
      <w:r>
        <w:rPr>
          <w:rFonts w:ascii="宋体" w:hAnsi="宋体" w:eastAsia="宋体" w:cs="宋体"/>
          <w:sz w:val="30"/>
          <w:szCs w:val="30"/>
          <w:u w:val="single"/>
        </w:rPr>
        <w:t>（¥</w:t>
      </w:r>
      <w:r>
        <w:rPr>
          <w:rFonts w:ascii="宋体" w:hAnsi="宋体" w:eastAsia="宋体" w:cs="宋体"/>
          <w:sz w:val="30"/>
          <w:szCs w:val="30"/>
          <w:u w:val="single"/>
          <w:lang w:eastAsia="zh-CN"/>
        </w:rPr>
        <w:t xml:space="preserve">     </w:t>
      </w:r>
      <w:r>
        <w:rPr>
          <w:rFonts w:ascii="宋体" w:hAnsi="宋体" w:eastAsia="宋体" w:cs="宋体"/>
          <w:sz w:val="30"/>
          <w:szCs w:val="30"/>
          <w:u w:val="single"/>
        </w:rPr>
        <w:t>）</w:t>
      </w:r>
      <w:r>
        <w:rPr>
          <w:rFonts w:ascii="宋体" w:hAnsi="宋体" w:eastAsia="宋体" w:cs="宋体"/>
          <w:sz w:val="30"/>
          <w:szCs w:val="30"/>
          <w:lang w:eastAsia="zh-CN"/>
        </w:rPr>
        <w:t>；</w:t>
      </w:r>
    </w:p>
    <w:p w14:paraId="7B3E5E27">
      <w:pPr>
        <w:ind w:firstLine="600" w:firstLineChars="200"/>
        <w:rPr>
          <w:color w:val="000000"/>
          <w:sz w:val="30"/>
          <w:szCs w:val="30"/>
        </w:rPr>
      </w:pPr>
      <w:r>
        <w:rPr>
          <w:rFonts w:hint="eastAsia"/>
          <w:sz w:val="30"/>
          <w:szCs w:val="30"/>
        </w:rPr>
        <w:t>（二）甲方每次付款前，乙方须提供甲方财务认可的等额税务</w:t>
      </w:r>
      <w:r>
        <w:rPr>
          <w:rFonts w:hint="eastAsia"/>
          <w:color w:val="000000"/>
          <w:sz w:val="30"/>
          <w:szCs w:val="30"/>
        </w:rPr>
        <w:t>发票，否则，甲方有权拒绝付款且不承担任何责任。</w:t>
      </w:r>
    </w:p>
    <w:p w14:paraId="22AEFBAD">
      <w:pPr>
        <w:ind w:firstLine="600" w:firstLineChars="200"/>
        <w:rPr>
          <w:sz w:val="30"/>
          <w:szCs w:val="30"/>
        </w:rPr>
      </w:pPr>
      <w:r>
        <w:rPr>
          <w:rFonts w:hint="eastAsia"/>
          <w:sz w:val="30"/>
          <w:szCs w:val="30"/>
        </w:rPr>
        <w:t>（三）支付方式：银行转账。</w:t>
      </w:r>
    </w:p>
    <w:p w14:paraId="39FA84FB">
      <w:pPr>
        <w:ind w:firstLine="600" w:firstLineChars="200"/>
        <w:rPr>
          <w:sz w:val="30"/>
          <w:szCs w:val="30"/>
        </w:rPr>
      </w:pPr>
      <w:r>
        <w:rPr>
          <w:rFonts w:hint="eastAsia"/>
          <w:sz w:val="30"/>
          <w:szCs w:val="30"/>
        </w:rPr>
        <w:t>（四）乙方应按照国家税收法律法规及甲方财务管理要求，向甲方开具与本合同款项金额、付款节点相匹配且内容真实、合法、有效的增值税专用发票（或甲方认可的其他合法票据），上述费用为含税价款，乙方应自行依法申报和缴纳相应税费。因乙方未按约定开具发票或违规开票导致甲方遭受税务处罚或其他损失的，乙方应承担全部责任并赔偿甲方因此遭受的全部损失。</w:t>
      </w:r>
    </w:p>
    <w:p w14:paraId="2DF9D8EA">
      <w:pPr>
        <w:ind w:firstLine="600" w:firstLineChars="200"/>
        <w:outlineLvl w:val="0"/>
        <w:rPr>
          <w:b/>
          <w:bCs/>
          <w:color w:val="000000"/>
          <w:sz w:val="30"/>
          <w:szCs w:val="30"/>
        </w:rPr>
      </w:pPr>
      <w:r>
        <w:rPr>
          <w:rFonts w:hint="eastAsia"/>
          <w:b/>
          <w:bCs/>
          <w:color w:val="000000"/>
          <w:sz w:val="30"/>
          <w:szCs w:val="30"/>
        </w:rPr>
        <w:t>第五条  服务团队</w:t>
      </w:r>
    </w:p>
    <w:p w14:paraId="65036445">
      <w:pPr>
        <w:ind w:firstLine="600" w:firstLineChars="200"/>
        <w:rPr>
          <w:color w:val="000000"/>
          <w:sz w:val="30"/>
          <w:szCs w:val="30"/>
        </w:rPr>
      </w:pPr>
      <w:r>
        <w:rPr>
          <w:rFonts w:hint="eastAsia"/>
          <w:color w:val="000000"/>
          <w:sz w:val="30"/>
          <w:szCs w:val="30"/>
        </w:rPr>
        <w:t>为提供优质的咨询服务，乙方指派</w:t>
      </w:r>
      <w:r>
        <w:rPr>
          <w:rFonts w:hint="eastAsia"/>
          <w:color w:val="000000"/>
          <w:sz w:val="30"/>
          <w:szCs w:val="30"/>
          <w:u w:val="single"/>
        </w:rPr>
        <w:t xml:space="preserve">      </w:t>
      </w:r>
      <w:r>
        <w:rPr>
          <w:rFonts w:hint="eastAsia"/>
          <w:color w:val="000000"/>
          <w:sz w:val="30"/>
          <w:szCs w:val="30"/>
        </w:rPr>
        <w:t>为项目负责人，抽组具备资质的技术、经济等专业人员，成立咨询服务团队（详见附件1），报甲方审查备案，未经甲方同意不得擅自调整。</w:t>
      </w:r>
    </w:p>
    <w:p w14:paraId="4E2A8E0C">
      <w:pPr>
        <w:ind w:firstLine="600" w:firstLineChars="200"/>
        <w:outlineLvl w:val="0"/>
        <w:rPr>
          <w:b/>
          <w:color w:val="000000"/>
          <w:sz w:val="30"/>
          <w:szCs w:val="30"/>
        </w:rPr>
      </w:pPr>
      <w:r>
        <w:rPr>
          <w:rFonts w:hint="eastAsia"/>
          <w:b/>
          <w:color w:val="000000"/>
          <w:sz w:val="30"/>
          <w:szCs w:val="30"/>
        </w:rPr>
        <w:t>第六条  交付验收</w:t>
      </w:r>
    </w:p>
    <w:p w14:paraId="51983A2D">
      <w:pPr>
        <w:ind w:firstLine="600" w:firstLineChars="200"/>
        <w:rPr>
          <w:color w:val="000000"/>
          <w:sz w:val="30"/>
          <w:szCs w:val="30"/>
        </w:rPr>
      </w:pPr>
      <w:r>
        <w:rPr>
          <w:rFonts w:hint="eastAsia"/>
          <w:color w:val="000000"/>
          <w:sz w:val="30"/>
          <w:szCs w:val="30"/>
        </w:rPr>
        <w:t>乙方按以下内容和要求提交验收咨询成果：</w:t>
      </w:r>
    </w:p>
    <w:p w14:paraId="57FCA5B1">
      <w:pPr>
        <w:ind w:firstLine="600" w:firstLineChars="200"/>
        <w:outlineLvl w:val="1"/>
        <w:rPr>
          <w:color w:val="000000"/>
          <w:sz w:val="30"/>
          <w:szCs w:val="30"/>
        </w:rPr>
      </w:pPr>
      <w:r>
        <w:rPr>
          <w:rFonts w:hint="eastAsia"/>
          <w:color w:val="000000"/>
          <w:sz w:val="30"/>
          <w:szCs w:val="30"/>
        </w:rPr>
        <w:t>（一）交付内容</w:t>
      </w:r>
    </w:p>
    <w:p w14:paraId="126D4CDF">
      <w:pPr>
        <w:ind w:firstLine="600" w:firstLineChars="200"/>
        <w:rPr>
          <w:color w:val="000000"/>
          <w:sz w:val="30"/>
          <w:szCs w:val="30"/>
        </w:rPr>
      </w:pPr>
      <w:r>
        <w:rPr>
          <w:rFonts w:hint="eastAsia"/>
          <w:color w:val="000000"/>
          <w:sz w:val="30"/>
          <w:szCs w:val="30"/>
        </w:rPr>
        <w:t>咨询成果：向甲方提交经乙方公司盖章的相关季度及年度的《运营期绩效评价报告》。（如后期PPP项目政策出现新变化，则需按照最新政策要求报有关单位审核通过） 。</w:t>
      </w:r>
    </w:p>
    <w:p w14:paraId="062ACB20">
      <w:pPr>
        <w:ind w:firstLine="600" w:firstLineChars="200"/>
        <w:outlineLvl w:val="1"/>
        <w:rPr>
          <w:color w:val="000000"/>
          <w:sz w:val="30"/>
          <w:szCs w:val="30"/>
        </w:rPr>
      </w:pPr>
      <w:r>
        <w:rPr>
          <w:rFonts w:hint="eastAsia"/>
          <w:color w:val="000000"/>
          <w:sz w:val="30"/>
          <w:szCs w:val="30"/>
        </w:rPr>
        <w:t>（二）交付的形式、时间及地点</w:t>
      </w:r>
    </w:p>
    <w:p w14:paraId="32BF425F">
      <w:pPr>
        <w:ind w:firstLine="600" w:firstLineChars="200"/>
        <w:rPr>
          <w:color w:val="000000"/>
          <w:sz w:val="30"/>
          <w:szCs w:val="30"/>
        </w:rPr>
      </w:pPr>
      <w:r>
        <w:rPr>
          <w:rFonts w:hint="eastAsia"/>
          <w:color w:val="000000"/>
          <w:sz w:val="30"/>
          <w:szCs w:val="30"/>
        </w:rPr>
        <w:t>形式：咨询成果以书面报告和电子资料两种形式提交（数量根据甲方需要）。</w:t>
      </w:r>
    </w:p>
    <w:p w14:paraId="6E6215BE">
      <w:pPr>
        <w:ind w:firstLine="600" w:firstLineChars="200"/>
        <w:rPr>
          <w:color w:val="000000"/>
          <w:sz w:val="30"/>
          <w:szCs w:val="30"/>
        </w:rPr>
      </w:pPr>
      <w:r>
        <w:rPr>
          <w:rFonts w:hint="eastAsia"/>
          <w:color w:val="000000"/>
          <w:sz w:val="30"/>
          <w:szCs w:val="30"/>
        </w:rPr>
        <w:t>时间：根据甲乙双方商定的工作计划，按有关进度执行。</w:t>
      </w:r>
    </w:p>
    <w:p w14:paraId="43E9150E">
      <w:pPr>
        <w:ind w:firstLine="600" w:firstLineChars="200"/>
        <w:rPr>
          <w:color w:val="000000"/>
          <w:sz w:val="30"/>
          <w:szCs w:val="30"/>
        </w:rPr>
      </w:pPr>
      <w:r>
        <w:rPr>
          <w:rFonts w:hint="eastAsia"/>
          <w:color w:val="000000"/>
          <w:sz w:val="30"/>
          <w:szCs w:val="30"/>
        </w:rPr>
        <w:t>地点：西安市。</w:t>
      </w:r>
    </w:p>
    <w:p w14:paraId="5FD99DD0">
      <w:pPr>
        <w:ind w:firstLine="600" w:firstLineChars="200"/>
        <w:outlineLvl w:val="0"/>
        <w:rPr>
          <w:b/>
          <w:color w:val="000000"/>
          <w:sz w:val="30"/>
          <w:szCs w:val="30"/>
        </w:rPr>
      </w:pPr>
      <w:r>
        <w:rPr>
          <w:rFonts w:hint="eastAsia"/>
          <w:b/>
          <w:color w:val="000000"/>
          <w:sz w:val="30"/>
          <w:szCs w:val="30"/>
        </w:rPr>
        <w:t>第七条  甲乙双方的权利和义务</w:t>
      </w:r>
    </w:p>
    <w:p w14:paraId="3A882BB3">
      <w:pPr>
        <w:ind w:firstLine="600" w:firstLineChars="200"/>
        <w:outlineLvl w:val="1"/>
        <w:rPr>
          <w:color w:val="000000"/>
          <w:sz w:val="30"/>
          <w:szCs w:val="30"/>
        </w:rPr>
      </w:pPr>
      <w:r>
        <w:rPr>
          <w:rFonts w:hint="eastAsia"/>
          <w:color w:val="000000"/>
          <w:sz w:val="30"/>
          <w:szCs w:val="30"/>
        </w:rPr>
        <w:t>（一）甲方的权利和义务</w:t>
      </w:r>
    </w:p>
    <w:p w14:paraId="15014487">
      <w:pPr>
        <w:ind w:firstLine="600" w:firstLineChars="200"/>
        <w:rPr>
          <w:color w:val="000000"/>
          <w:sz w:val="30"/>
          <w:szCs w:val="30"/>
        </w:rPr>
      </w:pPr>
      <w:r>
        <w:rPr>
          <w:rFonts w:hint="eastAsia"/>
          <w:color w:val="000000"/>
          <w:sz w:val="30"/>
          <w:szCs w:val="30"/>
        </w:rPr>
        <w:t>1．甲方有权对乙方的服务进行监督检查，有权向乙方询问工作进展情况及相关工作内容，有权阐述对具体问题的意见和建议；</w:t>
      </w:r>
    </w:p>
    <w:p w14:paraId="6CAEA1FE">
      <w:pPr>
        <w:ind w:firstLine="600" w:firstLineChars="200"/>
        <w:rPr>
          <w:color w:val="000000"/>
          <w:sz w:val="30"/>
          <w:szCs w:val="30"/>
        </w:rPr>
      </w:pPr>
      <w:r>
        <w:rPr>
          <w:rFonts w:hint="eastAsia"/>
          <w:color w:val="000000"/>
          <w:sz w:val="30"/>
          <w:szCs w:val="30"/>
        </w:rPr>
        <w:t>2．甲方对乙方提供的咨询服务建议或报告有审议、修改及最终决策的权利；</w:t>
      </w:r>
    </w:p>
    <w:p w14:paraId="02897AE6">
      <w:pPr>
        <w:ind w:firstLine="600" w:firstLineChars="200"/>
        <w:rPr>
          <w:color w:val="000000"/>
          <w:sz w:val="30"/>
          <w:szCs w:val="30"/>
        </w:rPr>
      </w:pPr>
      <w:r>
        <w:rPr>
          <w:rFonts w:hint="eastAsia"/>
          <w:color w:val="000000"/>
          <w:sz w:val="30"/>
          <w:szCs w:val="30"/>
        </w:rPr>
        <w:t>3．服务期内，若乙方服务人员不正确或不认真履行服务责任，甲方有权要求乙方更换服务人员，乙方应当在甲方规定的时间内及时更换与合同约定的资历匹配一致的人员，但更换人员不得影响服务进度；</w:t>
      </w:r>
    </w:p>
    <w:p w14:paraId="6F3C7323">
      <w:pPr>
        <w:ind w:firstLine="600" w:firstLineChars="200"/>
        <w:rPr>
          <w:color w:val="000000"/>
          <w:sz w:val="30"/>
          <w:szCs w:val="30"/>
        </w:rPr>
      </w:pPr>
      <w:r>
        <w:rPr>
          <w:rFonts w:hint="eastAsia"/>
          <w:color w:val="000000"/>
          <w:sz w:val="30"/>
          <w:szCs w:val="30"/>
        </w:rPr>
        <w:t>4．配合乙方工作，协助乙方对接项目公司等与项目有关的单位，向乙方提供相关基础资料，并保证所提供资料真实、合法、有效；</w:t>
      </w:r>
    </w:p>
    <w:p w14:paraId="7D19FEA6">
      <w:pPr>
        <w:ind w:firstLine="600" w:firstLineChars="200"/>
        <w:outlineLvl w:val="2"/>
        <w:rPr>
          <w:color w:val="000000"/>
          <w:sz w:val="30"/>
          <w:szCs w:val="30"/>
        </w:rPr>
      </w:pPr>
      <w:r>
        <w:rPr>
          <w:rFonts w:hint="eastAsia"/>
          <w:color w:val="000000"/>
          <w:sz w:val="30"/>
          <w:szCs w:val="30"/>
        </w:rPr>
        <w:t>5．配合乙方现场访谈、勘察等事宜，并提供相关工作便利；</w:t>
      </w:r>
    </w:p>
    <w:p w14:paraId="694B1DAA">
      <w:pPr>
        <w:ind w:firstLine="600" w:firstLineChars="200"/>
        <w:rPr>
          <w:color w:val="000000"/>
          <w:sz w:val="30"/>
          <w:szCs w:val="30"/>
        </w:rPr>
      </w:pPr>
      <w:r>
        <w:rPr>
          <w:rFonts w:hint="eastAsia"/>
          <w:color w:val="000000"/>
          <w:sz w:val="30"/>
          <w:szCs w:val="30"/>
        </w:rPr>
        <w:t>6．在乙方无任何违约的情况下，依据本合同规定，及时足额向乙方支付咨询服务费用；</w:t>
      </w:r>
    </w:p>
    <w:p w14:paraId="01BDEA3D">
      <w:pPr>
        <w:ind w:left="596" w:leftChars="284"/>
        <w:outlineLvl w:val="2"/>
      </w:pPr>
      <w:r>
        <w:rPr>
          <w:rFonts w:hint="eastAsia"/>
          <w:color w:val="000000"/>
          <w:sz w:val="30"/>
          <w:szCs w:val="30"/>
        </w:rPr>
        <w:t>7．国家法律、法规所规定应由甲方承担的其他责任。</w:t>
      </w:r>
    </w:p>
    <w:p w14:paraId="6DCFD3B7">
      <w:pPr>
        <w:ind w:firstLine="600" w:firstLineChars="200"/>
        <w:outlineLvl w:val="1"/>
        <w:rPr>
          <w:color w:val="000000"/>
          <w:sz w:val="30"/>
          <w:szCs w:val="30"/>
        </w:rPr>
      </w:pPr>
      <w:r>
        <w:rPr>
          <w:rFonts w:hint="eastAsia"/>
          <w:color w:val="000000"/>
          <w:sz w:val="30"/>
          <w:szCs w:val="30"/>
        </w:rPr>
        <w:t>（二）乙方的权利和义务</w:t>
      </w:r>
    </w:p>
    <w:p w14:paraId="58F9FE1B">
      <w:pPr>
        <w:ind w:firstLine="600" w:firstLineChars="200"/>
        <w:rPr>
          <w:color w:val="000000"/>
          <w:sz w:val="30"/>
          <w:szCs w:val="30"/>
        </w:rPr>
      </w:pPr>
      <w:r>
        <w:rPr>
          <w:rFonts w:hint="eastAsia"/>
          <w:color w:val="000000"/>
          <w:sz w:val="30"/>
          <w:szCs w:val="30"/>
        </w:rPr>
        <w:t>1．乙方在提供咨询服务过程中，有权要求甲方提供所需的项目资料，乙方对甲方提交的资料在三日内未提出异议的，视为甲方提交的资料符合项目要求；</w:t>
      </w:r>
    </w:p>
    <w:p w14:paraId="09962E80">
      <w:pPr>
        <w:ind w:firstLine="600" w:firstLineChars="200"/>
        <w:rPr>
          <w:color w:val="000000"/>
          <w:sz w:val="30"/>
          <w:szCs w:val="30"/>
        </w:rPr>
      </w:pPr>
      <w:r>
        <w:rPr>
          <w:rFonts w:hint="eastAsia"/>
          <w:color w:val="000000"/>
          <w:sz w:val="30"/>
          <w:szCs w:val="30"/>
        </w:rPr>
        <w:t xml:space="preserve">2．乙方在提供咨询服务过程中有到现场访谈、勘察的权利；  </w:t>
      </w:r>
    </w:p>
    <w:p w14:paraId="61828C0F">
      <w:pPr>
        <w:ind w:firstLine="600" w:firstLineChars="200"/>
        <w:rPr>
          <w:color w:val="000000"/>
          <w:sz w:val="30"/>
          <w:szCs w:val="30"/>
        </w:rPr>
      </w:pPr>
      <w:r>
        <w:rPr>
          <w:rFonts w:hint="eastAsia"/>
          <w:color w:val="000000"/>
          <w:sz w:val="30"/>
          <w:szCs w:val="30"/>
        </w:rPr>
        <w:t>3．依据本合同约定，向甲方收取咨询服务费用；</w:t>
      </w:r>
    </w:p>
    <w:p w14:paraId="6844180E">
      <w:pPr>
        <w:ind w:firstLine="600" w:firstLineChars="200"/>
        <w:rPr>
          <w:color w:val="000000"/>
          <w:sz w:val="30"/>
          <w:szCs w:val="30"/>
        </w:rPr>
      </w:pPr>
      <w:r>
        <w:rPr>
          <w:rFonts w:hint="eastAsia"/>
          <w:color w:val="000000"/>
          <w:sz w:val="30"/>
          <w:szCs w:val="30"/>
        </w:rPr>
        <w:t>4．乙方应遵守其做出的服务承诺，遵循诚实、勤勉、尽职的原则，为甲方提供咨询服务，</w:t>
      </w:r>
      <w:r>
        <w:rPr>
          <w:rFonts w:hint="eastAsia"/>
          <w:color w:val="000000"/>
          <w:sz w:val="30"/>
          <w:szCs w:val="30"/>
          <w:lang w:val="zh-TW" w:eastAsia="zh-TW"/>
        </w:rPr>
        <w:t>对咨询成果的真实性和质量负责</w:t>
      </w:r>
      <w:r>
        <w:rPr>
          <w:rFonts w:hint="eastAsia"/>
          <w:color w:val="000000"/>
          <w:sz w:val="30"/>
          <w:szCs w:val="30"/>
        </w:rPr>
        <w:t>；</w:t>
      </w:r>
    </w:p>
    <w:p w14:paraId="175BAD8D">
      <w:pPr>
        <w:ind w:firstLine="600" w:firstLineChars="200"/>
        <w:rPr>
          <w:color w:val="000000"/>
          <w:sz w:val="30"/>
          <w:szCs w:val="30"/>
        </w:rPr>
      </w:pPr>
      <w:r>
        <w:rPr>
          <w:rFonts w:hint="eastAsia"/>
          <w:color w:val="000000"/>
          <w:sz w:val="30"/>
          <w:szCs w:val="30"/>
        </w:rPr>
        <w:t>5．乙方服务咨询形式不仅限于书面的咨询方案、报告等，也可根据甲方需求提供现场咨询等服务；</w:t>
      </w:r>
    </w:p>
    <w:p w14:paraId="331DB33F">
      <w:pPr>
        <w:ind w:firstLine="600" w:firstLineChars="200"/>
        <w:rPr>
          <w:color w:val="000000"/>
          <w:sz w:val="30"/>
          <w:szCs w:val="30"/>
        </w:rPr>
      </w:pPr>
      <w:r>
        <w:rPr>
          <w:rFonts w:hint="eastAsia"/>
          <w:color w:val="000000"/>
          <w:sz w:val="30"/>
          <w:szCs w:val="30"/>
        </w:rPr>
        <w:t>6．</w:t>
      </w:r>
      <w:bookmarkStart w:id="5" w:name="_Hlk60657896"/>
      <w:r>
        <w:rPr>
          <w:rFonts w:hint="eastAsia"/>
          <w:color w:val="000000"/>
          <w:sz w:val="30"/>
          <w:szCs w:val="30"/>
        </w:rPr>
        <w:t>乙方应编制咨询服务工作计划，报甲方审查备案，主动接受甲方的监督，根据甲方要求，及时向甲方汇报工作</w:t>
      </w:r>
      <w:bookmarkEnd w:id="5"/>
      <w:r>
        <w:rPr>
          <w:rFonts w:hint="eastAsia"/>
          <w:color w:val="000000"/>
          <w:sz w:val="30"/>
          <w:szCs w:val="30"/>
        </w:rPr>
        <w:t>进展；</w:t>
      </w:r>
    </w:p>
    <w:p w14:paraId="15723422">
      <w:pPr>
        <w:ind w:firstLine="600" w:firstLineChars="200"/>
        <w:rPr>
          <w:color w:val="000000"/>
          <w:sz w:val="30"/>
          <w:szCs w:val="30"/>
        </w:rPr>
      </w:pPr>
      <w:r>
        <w:rPr>
          <w:rFonts w:hint="eastAsia"/>
          <w:color w:val="000000"/>
          <w:sz w:val="30"/>
          <w:szCs w:val="30"/>
        </w:rPr>
        <w:t>7．乙方应保证服务团队人员为本项目服务的工作时间，督促团队人员正确、认真履行责任，及时高效地提供咨询服务；</w:t>
      </w:r>
    </w:p>
    <w:p w14:paraId="5946B153">
      <w:pPr>
        <w:ind w:firstLine="600" w:firstLineChars="200"/>
        <w:rPr>
          <w:color w:val="000000"/>
          <w:sz w:val="30"/>
          <w:szCs w:val="30"/>
          <w:lang w:val="zh-TW"/>
        </w:rPr>
      </w:pPr>
      <w:r>
        <w:rPr>
          <w:rFonts w:hint="eastAsia"/>
          <w:color w:val="000000"/>
          <w:sz w:val="30"/>
          <w:szCs w:val="30"/>
        </w:rPr>
        <w:t>8．</w:t>
      </w:r>
      <w:r>
        <w:rPr>
          <w:rFonts w:hint="eastAsia"/>
          <w:color w:val="000000"/>
          <w:sz w:val="30"/>
          <w:szCs w:val="30"/>
          <w:lang w:val="zh-TW" w:eastAsia="zh-TW"/>
        </w:rPr>
        <w:t>乙方所提供的服务或其</w:t>
      </w:r>
      <w:r>
        <w:rPr>
          <w:rFonts w:hint="eastAsia"/>
          <w:color w:val="000000"/>
          <w:sz w:val="30"/>
          <w:szCs w:val="30"/>
        </w:rPr>
        <w:t>中</w:t>
      </w:r>
      <w:r>
        <w:rPr>
          <w:rFonts w:hint="eastAsia"/>
          <w:color w:val="000000"/>
          <w:sz w:val="30"/>
          <w:szCs w:val="30"/>
          <w:lang w:val="zh-TW" w:eastAsia="zh-TW"/>
        </w:rPr>
        <w:t>任何一部分</w:t>
      </w:r>
      <w:r>
        <w:rPr>
          <w:rFonts w:hint="eastAsia"/>
          <w:color w:val="000000"/>
          <w:sz w:val="30"/>
          <w:szCs w:val="30"/>
          <w:lang w:val="zh-TW"/>
        </w:rPr>
        <w:t>，</w:t>
      </w:r>
      <w:r>
        <w:rPr>
          <w:rFonts w:hint="eastAsia"/>
          <w:color w:val="000000"/>
          <w:sz w:val="30"/>
          <w:szCs w:val="30"/>
          <w:lang w:val="zh-TW" w:eastAsia="zh-TW"/>
        </w:rPr>
        <w:t>均不</w:t>
      </w:r>
      <w:r>
        <w:rPr>
          <w:rFonts w:hint="eastAsia"/>
          <w:color w:val="000000"/>
          <w:sz w:val="30"/>
          <w:szCs w:val="30"/>
        </w:rPr>
        <w:t>得</w:t>
      </w:r>
      <w:r>
        <w:rPr>
          <w:rFonts w:hint="eastAsia"/>
          <w:color w:val="000000"/>
          <w:sz w:val="30"/>
          <w:szCs w:val="30"/>
          <w:lang w:val="zh-TW" w:eastAsia="zh-TW"/>
        </w:rPr>
        <w:t>侵犯任何第三方专利权、商标权或著作权</w:t>
      </w:r>
      <w:r>
        <w:rPr>
          <w:rFonts w:hint="eastAsia"/>
          <w:color w:val="000000"/>
          <w:sz w:val="30"/>
          <w:szCs w:val="30"/>
        </w:rPr>
        <w:t>等知识产权</w:t>
      </w:r>
      <w:r>
        <w:rPr>
          <w:rFonts w:hint="eastAsia"/>
          <w:color w:val="000000"/>
          <w:sz w:val="30"/>
          <w:szCs w:val="30"/>
          <w:lang w:val="zh-TW"/>
        </w:rPr>
        <w:t>，</w:t>
      </w:r>
      <w:r>
        <w:rPr>
          <w:rFonts w:hint="eastAsia"/>
          <w:color w:val="000000"/>
          <w:sz w:val="30"/>
          <w:szCs w:val="30"/>
        </w:rPr>
        <w:t>并承担与此相关的一切责任</w:t>
      </w:r>
      <w:r>
        <w:rPr>
          <w:rFonts w:hint="eastAsia"/>
          <w:color w:val="000000"/>
          <w:sz w:val="30"/>
          <w:szCs w:val="30"/>
          <w:lang w:val="zh-TW"/>
        </w:rPr>
        <w:t>；</w:t>
      </w:r>
    </w:p>
    <w:p w14:paraId="080DA71B">
      <w:pPr>
        <w:ind w:firstLine="600" w:firstLineChars="200"/>
        <w:rPr>
          <w:color w:val="000000"/>
          <w:sz w:val="30"/>
          <w:szCs w:val="30"/>
        </w:rPr>
      </w:pPr>
      <w:r>
        <w:rPr>
          <w:color w:val="000000"/>
          <w:sz w:val="30"/>
          <w:szCs w:val="30"/>
        </w:rPr>
        <w:t>9.</w:t>
      </w:r>
      <w:r>
        <w:rPr>
          <w:rFonts w:hint="eastAsia"/>
          <w:color w:val="000000"/>
          <w:sz w:val="30"/>
          <w:szCs w:val="30"/>
        </w:rPr>
        <w:t>乙方应确保参与本项目的专职或兼职人员严格遵守国家法律法规、行业廉洁规定及甲方各项廉洁要求，自觉维护甲方合法权益与声誉，不得利用职务便利索取、收受财物或其他不正当利益，不得从事损害甲方利益、违反廉洁自律的行为。如有上述情形发生，甲方有权视情节采取警告、限期整改、暂停付款、单方解除合同等措施，并追究乙方相应的违约责任及全部损失。</w:t>
      </w:r>
    </w:p>
    <w:p w14:paraId="0ED06425">
      <w:pPr>
        <w:ind w:firstLine="600" w:firstLineChars="200"/>
        <w:rPr>
          <w:color w:val="000000"/>
          <w:sz w:val="30"/>
          <w:szCs w:val="30"/>
        </w:rPr>
      </w:pPr>
      <w:r>
        <w:rPr>
          <w:rFonts w:hint="eastAsia"/>
          <w:color w:val="000000"/>
          <w:sz w:val="30"/>
          <w:szCs w:val="30"/>
        </w:rPr>
        <w:t>1</w:t>
      </w:r>
      <w:r>
        <w:rPr>
          <w:color w:val="000000"/>
          <w:sz w:val="30"/>
          <w:szCs w:val="30"/>
        </w:rPr>
        <w:t>0</w:t>
      </w:r>
      <w:r>
        <w:rPr>
          <w:rFonts w:hint="eastAsia"/>
          <w:color w:val="000000"/>
          <w:sz w:val="30"/>
          <w:szCs w:val="30"/>
          <w:lang w:val="zh-TW" w:eastAsia="zh-TW"/>
        </w:rPr>
        <w:t>．</w:t>
      </w:r>
      <w:r>
        <w:rPr>
          <w:rFonts w:hint="eastAsia"/>
          <w:color w:val="000000"/>
          <w:sz w:val="30"/>
          <w:szCs w:val="30"/>
        </w:rPr>
        <w:t>国家法律、法规所规定应由乙方承担的其他责任。</w:t>
      </w:r>
    </w:p>
    <w:p w14:paraId="6B9E8ECB">
      <w:pPr>
        <w:ind w:firstLine="600" w:firstLineChars="200"/>
        <w:outlineLvl w:val="0"/>
        <w:rPr>
          <w:b/>
          <w:color w:val="000000"/>
          <w:sz w:val="30"/>
          <w:szCs w:val="30"/>
        </w:rPr>
      </w:pPr>
      <w:r>
        <w:rPr>
          <w:rFonts w:hint="eastAsia"/>
          <w:b/>
          <w:color w:val="000000"/>
          <w:sz w:val="30"/>
          <w:szCs w:val="30"/>
        </w:rPr>
        <w:t>第八条  知识产权</w:t>
      </w:r>
    </w:p>
    <w:p w14:paraId="3CD8FA28">
      <w:pPr>
        <w:ind w:firstLine="600" w:firstLineChars="200"/>
        <w:rPr>
          <w:color w:val="000000"/>
          <w:sz w:val="30"/>
          <w:szCs w:val="30"/>
          <w:lang w:val="zh-TW"/>
        </w:rPr>
      </w:pPr>
      <w:r>
        <w:rPr>
          <w:rFonts w:hint="eastAsia"/>
          <w:color w:val="000000"/>
          <w:sz w:val="30"/>
          <w:szCs w:val="30"/>
        </w:rPr>
        <w:t>（一）</w:t>
      </w:r>
      <w:r>
        <w:rPr>
          <w:rFonts w:hint="eastAsia"/>
          <w:color w:val="000000"/>
          <w:sz w:val="30"/>
          <w:szCs w:val="30"/>
          <w:lang w:val="zh-TW"/>
        </w:rPr>
        <w:t>项目执行过程中，乙方编制的所有与本项目有关工作成果的知识产权归属甲方所有。</w:t>
      </w:r>
    </w:p>
    <w:p w14:paraId="6B01A679">
      <w:pPr>
        <w:ind w:firstLine="600" w:firstLineChars="200"/>
        <w:rPr>
          <w:color w:val="000000"/>
          <w:sz w:val="30"/>
          <w:szCs w:val="30"/>
        </w:rPr>
      </w:pPr>
      <w:r>
        <w:rPr>
          <w:rFonts w:hint="eastAsia"/>
          <w:color w:val="000000"/>
          <w:sz w:val="30"/>
          <w:szCs w:val="30"/>
        </w:rPr>
        <w:t>（二）乙方无论出于任何目的，如在其他地方使用该成果，必须经甲方同意才可使用。否则，甲方有权要求终止涉及到该知识产权的任何使用活动，并保留追究乙方相应法律责任的权利。</w:t>
      </w:r>
    </w:p>
    <w:p w14:paraId="395C56E9">
      <w:pPr>
        <w:ind w:firstLine="600" w:firstLineChars="200"/>
        <w:outlineLvl w:val="1"/>
        <w:rPr>
          <w:color w:val="000000"/>
          <w:sz w:val="30"/>
          <w:szCs w:val="30"/>
        </w:rPr>
      </w:pPr>
      <w:r>
        <w:rPr>
          <w:rFonts w:hint="eastAsia"/>
          <w:color w:val="000000"/>
          <w:sz w:val="30"/>
          <w:szCs w:val="30"/>
        </w:rPr>
        <w:t>（三）乙方为执行本合同而提供的技术资料使用权归甲方所有。</w:t>
      </w:r>
    </w:p>
    <w:p w14:paraId="267EF24D">
      <w:pPr>
        <w:ind w:firstLine="600" w:firstLineChars="200"/>
        <w:outlineLvl w:val="0"/>
        <w:rPr>
          <w:b/>
          <w:bCs/>
          <w:color w:val="000000"/>
          <w:sz w:val="30"/>
          <w:szCs w:val="30"/>
        </w:rPr>
      </w:pPr>
      <w:r>
        <w:rPr>
          <w:rFonts w:hint="eastAsia"/>
          <w:b/>
          <w:bCs/>
          <w:color w:val="000000"/>
          <w:sz w:val="30"/>
          <w:szCs w:val="30"/>
        </w:rPr>
        <w:t>第九条  违约责任</w:t>
      </w:r>
    </w:p>
    <w:p w14:paraId="6F223CA7">
      <w:pPr>
        <w:ind w:firstLine="600" w:firstLineChars="200"/>
        <w:outlineLvl w:val="1"/>
        <w:rPr>
          <w:color w:val="000000"/>
          <w:sz w:val="30"/>
          <w:szCs w:val="30"/>
        </w:rPr>
      </w:pPr>
      <w:r>
        <w:rPr>
          <w:rFonts w:hint="eastAsia"/>
          <w:color w:val="000000"/>
          <w:sz w:val="30"/>
          <w:szCs w:val="30"/>
        </w:rPr>
        <w:t>（一）甲方的违约责任</w:t>
      </w:r>
    </w:p>
    <w:p w14:paraId="0F7DB3DA">
      <w:pPr>
        <w:ind w:firstLine="600" w:firstLineChars="200"/>
        <w:rPr>
          <w:color w:val="000000"/>
          <w:sz w:val="30"/>
          <w:szCs w:val="30"/>
        </w:rPr>
      </w:pPr>
      <w:r>
        <w:rPr>
          <w:rFonts w:hint="eastAsia"/>
          <w:color w:val="000000"/>
          <w:sz w:val="30"/>
          <w:szCs w:val="30"/>
        </w:rPr>
        <w:t>1．甲方违反约定，不能按时提供技术资料、工作条件或提供技术资料不准确，导致乙方无法按期完成并提交咨询成果的，乙方有权按延误的时间予以顺延。</w:t>
      </w:r>
    </w:p>
    <w:p w14:paraId="64697C4C">
      <w:pPr>
        <w:ind w:firstLine="600" w:firstLineChars="200"/>
        <w:rPr>
          <w:color w:val="000000"/>
          <w:sz w:val="30"/>
          <w:szCs w:val="30"/>
        </w:rPr>
      </w:pPr>
      <w:r>
        <w:rPr>
          <w:rFonts w:hint="eastAsia"/>
          <w:color w:val="000000"/>
          <w:sz w:val="30"/>
          <w:szCs w:val="30"/>
        </w:rPr>
        <w:t>2．甲方因故要求中途终止合同时，应及时书面通知乙方，乙方</w:t>
      </w:r>
      <w:r>
        <w:rPr>
          <w:color w:val="000000"/>
          <w:sz w:val="30"/>
          <w:szCs w:val="30"/>
        </w:rPr>
        <w:t>不退还甲方已支付的</w:t>
      </w:r>
      <w:r>
        <w:rPr>
          <w:rFonts w:hint="eastAsia"/>
          <w:color w:val="000000"/>
          <w:sz w:val="30"/>
          <w:szCs w:val="30"/>
        </w:rPr>
        <w:t>咨询费。在上一次付款节点后，乙方又开展的工作，甲方应按乙方实际完成的工作量支付相应的咨询费。</w:t>
      </w:r>
    </w:p>
    <w:p w14:paraId="3DD2621A">
      <w:pPr>
        <w:ind w:firstLine="600" w:firstLineChars="200"/>
        <w:rPr>
          <w:color w:val="000000"/>
          <w:sz w:val="30"/>
          <w:szCs w:val="30"/>
        </w:rPr>
      </w:pPr>
      <w:r>
        <w:rPr>
          <w:rFonts w:hint="eastAsia"/>
          <w:color w:val="000000"/>
          <w:sz w:val="30"/>
          <w:szCs w:val="30"/>
        </w:rPr>
        <w:t>3．在乙方无任何违约的情况下，甲方应在约定时间内支付本合同咨询费用。</w:t>
      </w:r>
    </w:p>
    <w:p w14:paraId="4B0A47E7">
      <w:pPr>
        <w:ind w:firstLine="600" w:firstLineChars="200"/>
        <w:outlineLvl w:val="1"/>
        <w:rPr>
          <w:color w:val="000000"/>
          <w:sz w:val="30"/>
          <w:szCs w:val="30"/>
        </w:rPr>
      </w:pPr>
      <w:r>
        <w:rPr>
          <w:rFonts w:hint="eastAsia"/>
          <w:color w:val="000000"/>
          <w:sz w:val="30"/>
          <w:szCs w:val="30"/>
        </w:rPr>
        <w:t>（二）乙方的违约责任</w:t>
      </w:r>
    </w:p>
    <w:p w14:paraId="4AE92C3D">
      <w:pPr>
        <w:pStyle w:val="2"/>
        <w:ind w:firstLine="600"/>
      </w:pPr>
      <w:r>
        <w:rPr>
          <w:rFonts w:hint="eastAsia"/>
          <w:color w:val="000000"/>
          <w:sz w:val="30"/>
          <w:szCs w:val="30"/>
        </w:rPr>
        <w:t>1．乙方未按双方约定日期提交咨询成果时，乙方从约定提交日期的次日起</w:t>
      </w:r>
      <w:r>
        <w:rPr>
          <w:color w:val="000000"/>
          <w:sz w:val="30"/>
          <w:szCs w:val="30"/>
        </w:rPr>
        <w:t>，甲方有权要求乙方在合理期限内限期改正并继续履行；逾期仍未提交或提交的咨询成果经整改后仍不符合合同约定的，甲方有权单方解除本合同，并有权要求乙方按照本合同金额的10%向甲方支付违约金；不足以弥补甲方损失的，乙方仍应就甲方因此遭受的全部损失承担赔偿责任。</w:t>
      </w:r>
    </w:p>
    <w:p w14:paraId="7F86958E">
      <w:pPr>
        <w:ind w:firstLine="600" w:firstLineChars="200"/>
        <w:rPr>
          <w:color w:val="000000"/>
          <w:sz w:val="30"/>
          <w:szCs w:val="30"/>
        </w:rPr>
      </w:pPr>
      <w:r>
        <w:rPr>
          <w:rFonts w:hint="eastAsia"/>
          <w:color w:val="000000"/>
          <w:sz w:val="30"/>
          <w:szCs w:val="30"/>
        </w:rPr>
        <w:t>2．乙方故意或重大过失，提供错误或不合格信息而导致甲方损失的，乙方有责任采取补救措施，并按实际情况赔偿甲方因此而造成的损失，同时，按本合同金额的10%，作为违约金赔偿甲方。</w:t>
      </w:r>
    </w:p>
    <w:p w14:paraId="692452FB">
      <w:pPr>
        <w:ind w:firstLine="600" w:firstLineChars="200"/>
        <w:rPr>
          <w:color w:val="000000"/>
          <w:sz w:val="30"/>
          <w:szCs w:val="30"/>
        </w:rPr>
      </w:pPr>
      <w:r>
        <w:rPr>
          <w:rFonts w:hint="eastAsia"/>
          <w:color w:val="000000"/>
          <w:sz w:val="30"/>
          <w:szCs w:val="30"/>
        </w:rPr>
        <w:t>3．乙方恶意违反约定，未按合同约定提交咨询成果的，经书面催告仍不提交报告和修改报告的，甲方有权解除合同，乙方应返还已收取的咨询费用，并按照已收取咨询费</w:t>
      </w:r>
      <w:r>
        <w:rPr>
          <w:color w:val="000000"/>
          <w:sz w:val="30"/>
          <w:szCs w:val="30"/>
        </w:rPr>
        <w:t>3</w:t>
      </w:r>
      <w:r>
        <w:rPr>
          <w:rFonts w:hint="eastAsia"/>
          <w:color w:val="000000"/>
          <w:sz w:val="30"/>
          <w:szCs w:val="30"/>
        </w:rPr>
        <w:t>0%的比例作为违约金，额外赔偿给甲方。</w:t>
      </w:r>
    </w:p>
    <w:p w14:paraId="319064B1">
      <w:pPr>
        <w:pStyle w:val="2"/>
        <w:ind w:firstLine="600"/>
        <w:rPr>
          <w:color w:val="000000"/>
          <w:sz w:val="30"/>
          <w:szCs w:val="30"/>
        </w:rPr>
      </w:pPr>
      <w:r>
        <w:rPr>
          <w:rFonts w:hint="eastAsia"/>
          <w:color w:val="000000"/>
          <w:sz w:val="30"/>
          <w:szCs w:val="30"/>
        </w:rPr>
        <w:t>4．因乙方未按甲方要求开展临时考核、未跟踪项目公司整改情况或未将项目情况及时反馈甲方，并由此收到甲方单独发函专项书面通报提醒的，自</w:t>
      </w:r>
      <w:r>
        <w:rPr>
          <w:color w:val="000000"/>
          <w:sz w:val="30"/>
          <w:szCs w:val="30"/>
        </w:rPr>
        <w:t>本年度内</w:t>
      </w:r>
      <w:r>
        <w:rPr>
          <w:rFonts w:hint="eastAsia"/>
          <w:color w:val="000000"/>
          <w:sz w:val="30"/>
          <w:szCs w:val="30"/>
        </w:rPr>
        <w:t>第三次通报之日起，每通报一次（含第三次通报）扣除5%当季</w:t>
      </w:r>
      <w:r>
        <w:rPr>
          <w:color w:val="000000"/>
          <w:sz w:val="30"/>
          <w:szCs w:val="30"/>
        </w:rPr>
        <w:t>（违约发生所在季度）</w:t>
      </w:r>
      <w:r>
        <w:rPr>
          <w:rFonts w:hint="eastAsia"/>
          <w:color w:val="000000"/>
          <w:sz w:val="30"/>
          <w:szCs w:val="30"/>
        </w:rPr>
        <w:t>服务费作为违约金。违约金于每季度支付服务费时直接予以扣除，并以当季服务费金额为扣除上限。</w:t>
      </w:r>
    </w:p>
    <w:p w14:paraId="0B73974C">
      <w:pPr>
        <w:pStyle w:val="2"/>
        <w:ind w:firstLine="600"/>
      </w:pPr>
      <w:r>
        <w:rPr>
          <w:rFonts w:hint="eastAsia"/>
          <w:color w:val="000000"/>
          <w:sz w:val="30"/>
          <w:szCs w:val="30"/>
        </w:rPr>
        <w:t>5．除本条明确约定的违约责任外，乙方未按合同约定履行义务导致甲方损失的，乙方还应承担全部损失赔偿，</w:t>
      </w:r>
      <w:r>
        <w:rPr>
          <w:color w:val="000000"/>
          <w:sz w:val="30"/>
          <w:szCs w:val="30"/>
        </w:rPr>
        <w:t>上述损失包括甲方因乙方违约实际发生的直接损失、因政府绩效考核结果受影响导致的相关损失以及为防止损失扩大而支出的合理费用。</w:t>
      </w:r>
      <w:r>
        <w:rPr>
          <w:rFonts w:hint="eastAsia"/>
          <w:color w:val="000000"/>
          <w:sz w:val="30"/>
          <w:szCs w:val="30"/>
        </w:rPr>
        <w:t>且甲方有权视情况单方解除本合</w:t>
      </w:r>
      <w:r>
        <w:rPr>
          <w:rFonts w:hint="eastAsia"/>
          <w:color w:val="000000" w:themeColor="text1"/>
          <w:sz w:val="30"/>
          <w:szCs w:val="30"/>
          <w14:textFill>
            <w14:solidFill>
              <w14:schemeClr w14:val="tx1"/>
            </w14:solidFill>
          </w14:textFill>
        </w:rPr>
        <w:t>同，并有权要求乙方返还甲方已支付但对价服务未实际履行或经最终验收不合格部分对应的费用。</w:t>
      </w:r>
      <w:r>
        <w:rPr>
          <w:color w:val="000000" w:themeColor="text1"/>
          <w:sz w:val="30"/>
          <w:szCs w:val="30"/>
          <w14:textFill>
            <w14:solidFill>
              <w14:schemeClr w14:val="tx1"/>
            </w14:solidFill>
          </w14:textFill>
        </w:rPr>
        <w:t>解除合同并不影响甲方继续向乙方主张前述损失赔偿的权利。</w:t>
      </w:r>
    </w:p>
    <w:p w14:paraId="6C7FEC8A">
      <w:pPr>
        <w:ind w:firstLine="600" w:firstLineChars="200"/>
        <w:outlineLvl w:val="0"/>
        <w:rPr>
          <w:b/>
          <w:color w:val="000000"/>
          <w:sz w:val="30"/>
          <w:szCs w:val="30"/>
        </w:rPr>
      </w:pPr>
      <w:r>
        <w:rPr>
          <w:rFonts w:hint="eastAsia"/>
          <w:b/>
          <w:color w:val="000000"/>
          <w:sz w:val="30"/>
          <w:szCs w:val="30"/>
        </w:rPr>
        <w:t>第十条  不可抗力</w:t>
      </w:r>
    </w:p>
    <w:p w14:paraId="02A2513D">
      <w:pPr>
        <w:ind w:firstLine="600" w:firstLineChars="200"/>
        <w:outlineLvl w:val="1"/>
        <w:rPr>
          <w:color w:val="000000"/>
          <w:sz w:val="30"/>
          <w:szCs w:val="30"/>
        </w:rPr>
      </w:pPr>
      <w:r>
        <w:rPr>
          <w:rFonts w:hint="eastAsia"/>
          <w:color w:val="000000"/>
          <w:sz w:val="30"/>
          <w:szCs w:val="30"/>
          <w:lang w:val="zh-TW"/>
        </w:rPr>
        <w:t>（</w:t>
      </w:r>
      <w:r>
        <w:rPr>
          <w:rFonts w:hint="eastAsia"/>
          <w:color w:val="000000"/>
          <w:sz w:val="30"/>
          <w:szCs w:val="30"/>
        </w:rPr>
        <w:t>一</w:t>
      </w:r>
      <w:r>
        <w:rPr>
          <w:rFonts w:hint="eastAsia"/>
          <w:color w:val="000000"/>
          <w:sz w:val="30"/>
          <w:szCs w:val="30"/>
          <w:lang w:val="zh-TW"/>
        </w:rPr>
        <w:t>）</w:t>
      </w:r>
      <w:r>
        <w:rPr>
          <w:rFonts w:hint="eastAsia"/>
          <w:color w:val="000000"/>
          <w:sz w:val="30"/>
          <w:szCs w:val="30"/>
          <w:lang w:val="zh-TW" w:eastAsia="zh-TW"/>
        </w:rPr>
        <w:t>由于不可抗力致使本协议无法履行时，双方应及时协商解决。</w:t>
      </w:r>
    </w:p>
    <w:p w14:paraId="2813423D">
      <w:pPr>
        <w:ind w:firstLine="600" w:firstLineChars="200"/>
        <w:rPr>
          <w:color w:val="000000"/>
          <w:sz w:val="30"/>
          <w:szCs w:val="30"/>
        </w:rPr>
      </w:pPr>
      <w:r>
        <w:rPr>
          <w:rFonts w:hint="eastAsia"/>
          <w:color w:val="000000"/>
          <w:sz w:val="30"/>
          <w:szCs w:val="30"/>
        </w:rPr>
        <w:t>（二）发生不可抗力事件，一方在本合同项下受不可抗力影响的义务，在不可抗力造成的延误期间自动中止，其履行期限应自动延长，延长期间为中止的期间，该方无须为此承担违约责任。如果发生不可抗力事件，致使不能实现合同目的的，双方均可以解除合同，自解除合同的书面通知送达对方时合同解除，双方均不需向对方承担违约责任。</w:t>
      </w:r>
    </w:p>
    <w:p w14:paraId="05E0F708">
      <w:pPr>
        <w:ind w:firstLine="600" w:firstLineChars="200"/>
        <w:rPr>
          <w:color w:val="000000"/>
          <w:sz w:val="30"/>
          <w:szCs w:val="30"/>
        </w:rPr>
      </w:pPr>
      <w:r>
        <w:rPr>
          <w:rFonts w:hint="eastAsia"/>
          <w:color w:val="000000"/>
          <w:sz w:val="30"/>
          <w:szCs w:val="30"/>
        </w:rPr>
        <w:t>（三）提出受不可抗力影响的一方，应及时书面通知对方，并在随后的十五日内，向对方提供不可抗力发生和持续期间的充分证据。提出受不可抗力影响的一方，还应尽一切合理努力，排除不可抗力对履行合同造成的影响。</w:t>
      </w:r>
    </w:p>
    <w:p w14:paraId="2271A25C">
      <w:pPr>
        <w:ind w:firstLine="600" w:firstLineChars="200"/>
        <w:rPr>
          <w:color w:val="000000"/>
          <w:sz w:val="30"/>
          <w:szCs w:val="30"/>
        </w:rPr>
      </w:pPr>
      <w:r>
        <w:rPr>
          <w:rFonts w:hint="eastAsia"/>
          <w:color w:val="000000"/>
          <w:sz w:val="30"/>
          <w:szCs w:val="30"/>
        </w:rPr>
        <w:t>（四）发生不可抗力时，双方应立即进行磋商，寻求合理的解决方案，并且要尽一切合理努力，将不可抗力造成的损失降低到最小程度，因不可抗力造成的损失由甲乙双方各自承担。但</w:t>
      </w:r>
      <w:r>
        <w:rPr>
          <w:color w:val="000000"/>
          <w:sz w:val="30"/>
          <w:szCs w:val="30"/>
        </w:rPr>
        <w:t>因一方未及时通知、未采取合理减损措施或以不可抗力为由逃避本应承担的义务而造成对方额外损失的，该方应承担相应赔偿责任。</w:t>
      </w:r>
    </w:p>
    <w:p w14:paraId="7C6E5C97">
      <w:pPr>
        <w:ind w:firstLine="600" w:firstLineChars="200"/>
        <w:outlineLvl w:val="0"/>
        <w:rPr>
          <w:b/>
          <w:bCs/>
          <w:color w:val="000000"/>
          <w:sz w:val="30"/>
          <w:szCs w:val="30"/>
        </w:rPr>
      </w:pPr>
      <w:r>
        <w:rPr>
          <w:rFonts w:hint="eastAsia"/>
          <w:b/>
          <w:bCs/>
          <w:color w:val="000000"/>
          <w:sz w:val="30"/>
          <w:szCs w:val="30"/>
        </w:rPr>
        <w:t>第十一条  争议解决</w:t>
      </w:r>
    </w:p>
    <w:p w14:paraId="30E2FD66">
      <w:pPr>
        <w:ind w:firstLine="600" w:firstLineChars="200"/>
        <w:rPr>
          <w:color w:val="000000"/>
          <w:sz w:val="30"/>
          <w:szCs w:val="30"/>
        </w:rPr>
      </w:pPr>
      <w:r>
        <w:rPr>
          <w:rFonts w:hint="eastAsia"/>
          <w:color w:val="000000"/>
          <w:sz w:val="30"/>
          <w:szCs w:val="30"/>
        </w:rPr>
        <w:t>本合同在履行过程中发生的争议，由甲、乙双方当事人协商解决，协商不成的按下列第</w:t>
      </w:r>
      <w:r>
        <w:rPr>
          <w:rFonts w:hint="eastAsia"/>
          <w:color w:val="000000"/>
          <w:sz w:val="30"/>
          <w:szCs w:val="30"/>
          <w:u w:val="single"/>
        </w:rPr>
        <w:t>（二）</w:t>
      </w:r>
      <w:r>
        <w:rPr>
          <w:rFonts w:hint="eastAsia"/>
          <w:color w:val="000000"/>
          <w:sz w:val="30"/>
          <w:szCs w:val="30"/>
        </w:rPr>
        <w:t>种方式解决。</w:t>
      </w:r>
    </w:p>
    <w:p w14:paraId="0F20054E">
      <w:pPr>
        <w:ind w:firstLine="600" w:firstLineChars="200"/>
        <w:rPr>
          <w:color w:val="000000"/>
          <w:sz w:val="30"/>
          <w:szCs w:val="30"/>
        </w:rPr>
      </w:pPr>
      <w:r>
        <w:rPr>
          <w:rFonts w:hint="eastAsia"/>
          <w:color w:val="000000"/>
          <w:sz w:val="30"/>
          <w:szCs w:val="30"/>
        </w:rPr>
        <w:t>（一）提交西安仲裁委员会仲裁。</w:t>
      </w:r>
    </w:p>
    <w:p w14:paraId="5A782D3E">
      <w:pPr>
        <w:ind w:firstLine="600" w:firstLineChars="200"/>
        <w:rPr>
          <w:color w:val="000000"/>
          <w:sz w:val="30"/>
          <w:szCs w:val="30"/>
        </w:rPr>
      </w:pPr>
      <w:r>
        <w:rPr>
          <w:rFonts w:hint="eastAsia"/>
          <w:color w:val="000000"/>
          <w:sz w:val="30"/>
          <w:szCs w:val="30"/>
        </w:rPr>
        <w:t>（二）依法向甲方所在地人民法院起诉。</w:t>
      </w:r>
    </w:p>
    <w:p w14:paraId="4F6C8E4C">
      <w:pPr>
        <w:ind w:firstLine="600" w:firstLineChars="200"/>
        <w:outlineLvl w:val="0"/>
        <w:rPr>
          <w:b/>
          <w:bCs/>
          <w:color w:val="000000"/>
          <w:sz w:val="30"/>
          <w:szCs w:val="30"/>
        </w:rPr>
      </w:pPr>
      <w:r>
        <w:rPr>
          <w:rFonts w:hint="eastAsia"/>
          <w:b/>
          <w:bCs/>
          <w:color w:val="000000"/>
          <w:sz w:val="30"/>
          <w:szCs w:val="30"/>
        </w:rPr>
        <w:t>第十二条  保密</w:t>
      </w:r>
    </w:p>
    <w:p w14:paraId="129BCD3C">
      <w:pPr>
        <w:ind w:firstLine="600" w:firstLineChars="200"/>
        <w:rPr>
          <w:color w:val="000000"/>
          <w:sz w:val="30"/>
          <w:szCs w:val="30"/>
        </w:rPr>
      </w:pPr>
      <w:r>
        <w:rPr>
          <w:rFonts w:hint="eastAsia"/>
          <w:color w:val="000000"/>
          <w:sz w:val="30"/>
          <w:szCs w:val="30"/>
        </w:rPr>
        <w:t>未经对方允许，任何一方不得将对方收集的、整理的、复制的、研究的和准备的，与本合同项下工作有关的一切资料提供给任何第三方。本条规定不影响为推介本项目已经公开发布的任何项目信息。</w:t>
      </w:r>
    </w:p>
    <w:p w14:paraId="7E1D1F2E">
      <w:pPr>
        <w:ind w:firstLine="600" w:firstLineChars="200"/>
        <w:rPr>
          <w:color w:val="000000"/>
          <w:sz w:val="30"/>
          <w:szCs w:val="30"/>
        </w:rPr>
      </w:pPr>
      <w:r>
        <w:rPr>
          <w:rFonts w:hint="eastAsia"/>
          <w:color w:val="000000"/>
          <w:sz w:val="30"/>
          <w:szCs w:val="30"/>
        </w:rPr>
        <w:t>任何一方不得将本合同内容，包括咨询费用及支付信息等提供给任何利益冲突第三方（我国现行法律、法规中明确甲方应予以配合提供给相关机构的情况除外）。</w:t>
      </w:r>
    </w:p>
    <w:p w14:paraId="3E42243E">
      <w:pPr>
        <w:ind w:firstLine="600" w:firstLineChars="200"/>
        <w:rPr>
          <w:color w:val="000000"/>
          <w:sz w:val="30"/>
          <w:szCs w:val="30"/>
        </w:rPr>
      </w:pPr>
      <w:r>
        <w:rPr>
          <w:rFonts w:hint="eastAsia"/>
          <w:color w:val="000000"/>
          <w:sz w:val="30"/>
          <w:szCs w:val="30"/>
        </w:rPr>
        <w:t>任何一方若违反该条保密条款，给对方造成经济损失，违约方应当承担违约责任与损害赔偿责任。</w:t>
      </w:r>
    </w:p>
    <w:p w14:paraId="0A75342C">
      <w:pPr>
        <w:ind w:firstLine="600" w:firstLineChars="200"/>
        <w:rPr>
          <w:color w:val="000000"/>
          <w:sz w:val="30"/>
          <w:szCs w:val="30"/>
        </w:rPr>
      </w:pPr>
      <w:r>
        <w:rPr>
          <w:rFonts w:hint="eastAsia"/>
          <w:color w:val="000000"/>
          <w:sz w:val="30"/>
          <w:szCs w:val="30"/>
        </w:rPr>
        <w:t>关于保密的规定在本合同终止后五年内有效。</w:t>
      </w:r>
    </w:p>
    <w:p w14:paraId="4D5F20B3">
      <w:pPr>
        <w:ind w:firstLine="600" w:firstLineChars="200"/>
        <w:outlineLvl w:val="0"/>
        <w:rPr>
          <w:b/>
          <w:bCs/>
          <w:color w:val="000000"/>
          <w:sz w:val="30"/>
          <w:szCs w:val="30"/>
        </w:rPr>
      </w:pPr>
      <w:r>
        <w:rPr>
          <w:rFonts w:hint="eastAsia"/>
          <w:b/>
          <w:bCs/>
          <w:color w:val="000000"/>
          <w:sz w:val="30"/>
          <w:szCs w:val="30"/>
        </w:rPr>
        <w:t>第十三条  合同生效</w:t>
      </w:r>
    </w:p>
    <w:p w14:paraId="55764D04">
      <w:pPr>
        <w:ind w:firstLine="600" w:firstLineChars="200"/>
        <w:rPr>
          <w:color w:val="000000"/>
          <w:sz w:val="30"/>
          <w:szCs w:val="30"/>
        </w:rPr>
      </w:pPr>
      <w:r>
        <w:rPr>
          <w:rFonts w:hint="eastAsia"/>
          <w:color w:val="000000"/>
          <w:sz w:val="30"/>
          <w:szCs w:val="30"/>
        </w:rPr>
        <w:t>（一）本合同须经甲、乙双方的法定代表人（被授权代表）在合同书上签字并加盖本单位公章后正式生效。</w:t>
      </w:r>
    </w:p>
    <w:p w14:paraId="36757210">
      <w:pPr>
        <w:ind w:firstLine="600" w:firstLineChars="200"/>
        <w:rPr>
          <w:color w:val="000000"/>
          <w:sz w:val="30"/>
          <w:szCs w:val="30"/>
        </w:rPr>
      </w:pPr>
      <w:r>
        <w:rPr>
          <w:rFonts w:hint="eastAsia"/>
          <w:color w:val="000000"/>
          <w:sz w:val="30"/>
          <w:szCs w:val="30"/>
        </w:rPr>
        <w:t>（二）合同生效后，甲、乙双方须严格执行本合同条款的规定，全面履行合同。</w:t>
      </w:r>
    </w:p>
    <w:p w14:paraId="52A5A0F6">
      <w:pPr>
        <w:ind w:firstLine="600" w:firstLineChars="200"/>
        <w:rPr>
          <w:color w:val="000000"/>
          <w:sz w:val="30"/>
          <w:szCs w:val="30"/>
        </w:rPr>
      </w:pPr>
      <w:r>
        <w:rPr>
          <w:rFonts w:hint="eastAsia"/>
          <w:color w:val="000000"/>
          <w:sz w:val="30"/>
          <w:szCs w:val="30"/>
        </w:rPr>
        <w:t>（三）本合同一式</w:t>
      </w:r>
      <w:r>
        <w:rPr>
          <w:rFonts w:hint="eastAsia"/>
          <w:color w:val="000000"/>
          <w:sz w:val="30"/>
          <w:szCs w:val="30"/>
          <w:u w:val="single"/>
        </w:rPr>
        <w:t xml:space="preserve"> 拾 </w:t>
      </w:r>
      <w:r>
        <w:rPr>
          <w:rFonts w:hint="eastAsia"/>
          <w:color w:val="000000"/>
          <w:sz w:val="30"/>
          <w:szCs w:val="30"/>
        </w:rPr>
        <w:t>份，甲乙双方各执</w:t>
      </w:r>
      <w:r>
        <w:rPr>
          <w:rFonts w:hint="eastAsia"/>
          <w:color w:val="000000"/>
          <w:sz w:val="30"/>
          <w:szCs w:val="30"/>
          <w:u w:val="single"/>
        </w:rPr>
        <w:t xml:space="preserve"> 伍 </w:t>
      </w:r>
      <w:r>
        <w:rPr>
          <w:rFonts w:hint="eastAsia"/>
          <w:color w:val="000000"/>
          <w:sz w:val="30"/>
          <w:szCs w:val="30"/>
        </w:rPr>
        <w:t>份，具有同等法律效力。</w:t>
      </w:r>
    </w:p>
    <w:p w14:paraId="371CCC58">
      <w:pPr>
        <w:ind w:firstLine="600" w:firstLineChars="200"/>
        <w:outlineLvl w:val="0"/>
        <w:rPr>
          <w:b/>
          <w:bCs/>
          <w:color w:val="000000"/>
          <w:sz w:val="30"/>
          <w:szCs w:val="30"/>
        </w:rPr>
      </w:pPr>
      <w:r>
        <w:rPr>
          <w:rFonts w:hint="eastAsia"/>
          <w:b/>
          <w:bCs/>
          <w:color w:val="000000"/>
          <w:sz w:val="30"/>
          <w:szCs w:val="30"/>
        </w:rPr>
        <w:t>第十四条  其它事项</w:t>
      </w:r>
    </w:p>
    <w:p w14:paraId="66D810AD">
      <w:pPr>
        <w:ind w:firstLine="600" w:firstLineChars="200"/>
        <w:outlineLvl w:val="1"/>
        <w:rPr>
          <w:color w:val="000000"/>
          <w:sz w:val="30"/>
          <w:szCs w:val="30"/>
        </w:rPr>
      </w:pPr>
      <w:r>
        <w:rPr>
          <w:rFonts w:hint="eastAsia"/>
          <w:color w:val="000000"/>
          <w:sz w:val="30"/>
          <w:szCs w:val="30"/>
        </w:rPr>
        <w:t>（一）乙方不得将本合同服务项目转让、分包给其它单位或个人。</w:t>
      </w:r>
    </w:p>
    <w:p w14:paraId="0A04AC58">
      <w:pPr>
        <w:ind w:firstLine="600" w:firstLineChars="200"/>
        <w:jc w:val="left"/>
        <w:rPr>
          <w:color w:val="000000"/>
          <w:sz w:val="30"/>
          <w:szCs w:val="30"/>
        </w:rPr>
      </w:pPr>
      <w:r>
        <w:rPr>
          <w:rFonts w:hint="eastAsia"/>
          <w:color w:val="000000"/>
          <w:sz w:val="30"/>
          <w:szCs w:val="30"/>
        </w:rPr>
        <w:t>（二）本合同尾部甲、乙双方的地址视为双方联系的固定通讯地址，若在履行本合同中双方有书面信函往来，该地址为双方法定地址。若其中任何一方变更住所地地址的，应在五（5）日之内通知对方。</w:t>
      </w:r>
    </w:p>
    <w:p w14:paraId="70546A3B">
      <w:pPr>
        <w:ind w:firstLine="600" w:firstLineChars="200"/>
        <w:rPr>
          <w:color w:val="000000"/>
          <w:sz w:val="30"/>
          <w:szCs w:val="30"/>
        </w:rPr>
      </w:pPr>
      <w:r>
        <w:rPr>
          <w:rFonts w:hint="eastAsia"/>
          <w:color w:val="000000"/>
          <w:sz w:val="30"/>
          <w:szCs w:val="30"/>
        </w:rPr>
        <w:t>（三）</w:t>
      </w:r>
      <w:r>
        <w:rPr>
          <w:rFonts w:hint="eastAsia"/>
          <w:color w:val="000000"/>
          <w:sz w:val="30"/>
          <w:szCs w:val="30"/>
          <w:lang w:val="zh-TW" w:eastAsia="zh-TW"/>
        </w:rPr>
        <w:t>本</w:t>
      </w:r>
      <w:r>
        <w:rPr>
          <w:rFonts w:hint="eastAsia"/>
          <w:color w:val="000000"/>
          <w:sz w:val="30"/>
          <w:szCs w:val="30"/>
        </w:rPr>
        <w:t>合同</w:t>
      </w:r>
      <w:r>
        <w:rPr>
          <w:rFonts w:hint="eastAsia"/>
          <w:color w:val="000000"/>
          <w:sz w:val="30"/>
          <w:szCs w:val="30"/>
          <w:lang w:val="zh-TW" w:eastAsia="zh-TW"/>
        </w:rPr>
        <w:t>未尽事宜，由甲</w:t>
      </w:r>
      <w:r>
        <w:rPr>
          <w:rFonts w:hint="eastAsia"/>
          <w:color w:val="000000"/>
          <w:sz w:val="30"/>
          <w:szCs w:val="30"/>
          <w:lang w:val="zh-TW"/>
        </w:rPr>
        <w:t>、</w:t>
      </w:r>
      <w:r>
        <w:rPr>
          <w:rFonts w:hint="eastAsia"/>
          <w:color w:val="000000"/>
          <w:sz w:val="30"/>
          <w:szCs w:val="30"/>
          <w:lang w:val="zh-TW" w:eastAsia="zh-TW"/>
        </w:rPr>
        <w:t>乙双方协商并签订补充</w:t>
      </w:r>
      <w:r>
        <w:rPr>
          <w:rFonts w:hint="eastAsia"/>
          <w:color w:val="000000"/>
          <w:sz w:val="30"/>
          <w:szCs w:val="30"/>
        </w:rPr>
        <w:t>合同</w:t>
      </w:r>
      <w:r>
        <w:rPr>
          <w:rFonts w:hint="eastAsia"/>
          <w:color w:val="000000"/>
          <w:sz w:val="30"/>
          <w:szCs w:val="30"/>
          <w:lang w:val="zh-TW"/>
        </w:rPr>
        <w:t>。</w:t>
      </w:r>
      <w:r>
        <w:rPr>
          <w:rFonts w:hint="eastAsia"/>
          <w:color w:val="000000"/>
          <w:sz w:val="30"/>
          <w:szCs w:val="30"/>
        </w:rPr>
        <w:t>本合同附件、</w:t>
      </w:r>
      <w:r>
        <w:rPr>
          <w:rFonts w:hint="eastAsia"/>
          <w:color w:val="000000"/>
          <w:sz w:val="30"/>
          <w:szCs w:val="30"/>
          <w:lang w:val="zh-TW" w:eastAsia="zh-TW"/>
        </w:rPr>
        <w:t>补充</w:t>
      </w:r>
      <w:r>
        <w:rPr>
          <w:rFonts w:hint="eastAsia"/>
          <w:color w:val="000000"/>
          <w:sz w:val="30"/>
          <w:szCs w:val="30"/>
        </w:rPr>
        <w:t>合同</w:t>
      </w:r>
      <w:r>
        <w:rPr>
          <w:rFonts w:hint="eastAsia"/>
          <w:color w:val="000000"/>
          <w:sz w:val="30"/>
          <w:szCs w:val="30"/>
          <w:lang w:val="zh-TW" w:eastAsia="zh-TW"/>
        </w:rPr>
        <w:t>及双方认可的涉及主要内容来往电报、传真、会议纪要等，均为本</w:t>
      </w:r>
      <w:r>
        <w:rPr>
          <w:rFonts w:hint="eastAsia"/>
          <w:color w:val="000000"/>
          <w:sz w:val="30"/>
          <w:szCs w:val="30"/>
        </w:rPr>
        <w:t>合同</w:t>
      </w:r>
      <w:r>
        <w:rPr>
          <w:rFonts w:hint="eastAsia"/>
          <w:color w:val="000000"/>
          <w:sz w:val="30"/>
          <w:szCs w:val="30"/>
          <w:lang w:val="zh-TW" w:eastAsia="zh-TW"/>
        </w:rPr>
        <w:t>的组成部分，与本</w:t>
      </w:r>
      <w:r>
        <w:rPr>
          <w:rFonts w:hint="eastAsia"/>
          <w:color w:val="000000"/>
          <w:sz w:val="30"/>
          <w:szCs w:val="30"/>
        </w:rPr>
        <w:t>合同</w:t>
      </w:r>
      <w:r>
        <w:rPr>
          <w:rFonts w:hint="eastAsia"/>
          <w:color w:val="000000"/>
          <w:sz w:val="30"/>
          <w:szCs w:val="30"/>
          <w:lang w:val="zh-TW" w:eastAsia="zh-TW"/>
        </w:rPr>
        <w:t>具有同等法律效力。</w:t>
      </w:r>
      <w:r>
        <w:rPr>
          <w:rFonts w:hint="eastAsia"/>
          <w:color w:val="000000"/>
          <w:sz w:val="30"/>
          <w:szCs w:val="30"/>
        </w:rPr>
        <w:t>如补充合同条款与本合同有不一致的，以补充合同为准。</w:t>
      </w:r>
    </w:p>
    <w:p w14:paraId="717C5776">
      <w:pPr>
        <w:pStyle w:val="2"/>
        <w:ind w:firstLine="600"/>
        <w:rPr>
          <w:color w:val="000000"/>
          <w:sz w:val="30"/>
          <w:szCs w:val="30"/>
        </w:rPr>
      </w:pPr>
      <w:r>
        <w:rPr>
          <w:rFonts w:hint="eastAsia"/>
          <w:color w:val="000000"/>
          <w:sz w:val="30"/>
          <w:szCs w:val="30"/>
        </w:rPr>
        <w:t>（四）本合同到期后，甲方在对乙方服务质量满意的情况下，可结合市财政部门批复的下年度预算，经甲乙双方协商后，续签下一年度的咨询服务合同。</w:t>
      </w:r>
    </w:p>
    <w:p w14:paraId="00134ADC">
      <w:pPr>
        <w:adjustRightInd w:val="0"/>
        <w:snapToGrid w:val="0"/>
        <w:spacing w:line="360" w:lineRule="auto"/>
        <w:jc w:val="left"/>
        <w:outlineLvl w:val="0"/>
        <w:rPr>
          <w:rFonts w:hint="eastAsia" w:ascii="宋体" w:hAnsi="宋体" w:cs="宋体"/>
          <w:b/>
          <w:sz w:val="32"/>
        </w:rPr>
      </w:pPr>
      <w:r>
        <w:rPr>
          <w:rFonts w:hint="eastAsia" w:ascii="宋体" w:hAnsi="宋体" w:cs="宋体"/>
          <w:b/>
          <w:sz w:val="32"/>
        </w:rPr>
        <w:t>附件</w:t>
      </w:r>
      <w:r>
        <w:rPr>
          <w:rFonts w:hint="eastAsia" w:ascii="宋体" w:hAnsi="宋体" w:eastAsia="宋体" w:cs="宋体"/>
          <w:b/>
          <w:sz w:val="32"/>
          <w:lang w:val="en-US" w:eastAsia="zh-CN"/>
        </w:rPr>
        <w:t>1</w:t>
      </w:r>
      <w:r>
        <w:rPr>
          <w:rFonts w:hint="eastAsia" w:ascii="宋体" w:hAnsi="宋体" w:cs="宋体"/>
          <w:b/>
          <w:sz w:val="32"/>
        </w:rPr>
        <w:t>：西安市地下综合管廊建设PPP项目绩效评价咨询服务项目绩效评价咨询服务人员名单</w:t>
      </w:r>
    </w:p>
    <w:p w14:paraId="6AA21EA3">
      <w:pPr>
        <w:adjustRightInd w:val="0"/>
        <w:snapToGrid w:val="0"/>
        <w:spacing w:line="360" w:lineRule="auto"/>
        <w:jc w:val="left"/>
        <w:outlineLvl w:val="0"/>
        <w:rPr>
          <w:rFonts w:hint="eastAsia" w:ascii="宋体" w:hAnsi="宋体" w:cs="宋体"/>
          <w:b/>
          <w:sz w:val="32"/>
        </w:rPr>
      </w:pPr>
      <w:r>
        <w:rPr>
          <w:rFonts w:hint="eastAsia" w:ascii="宋体" w:hAnsi="宋体" w:cs="宋体"/>
          <w:b/>
          <w:sz w:val="32"/>
        </w:rPr>
        <w:t>附件</w:t>
      </w:r>
      <w:r>
        <w:rPr>
          <w:rFonts w:hint="eastAsia" w:ascii="宋体" w:hAnsi="宋体" w:cs="宋体"/>
          <w:b/>
          <w:sz w:val="32"/>
          <w:lang w:val="en-US" w:eastAsia="zh-CN"/>
        </w:rPr>
        <w:t>2</w:t>
      </w:r>
      <w:r>
        <w:rPr>
          <w:rFonts w:hint="eastAsia" w:ascii="宋体" w:hAnsi="宋体" w:cs="宋体"/>
          <w:b/>
          <w:sz w:val="32"/>
        </w:rPr>
        <w:t>：项目履约验收方案</w:t>
      </w:r>
    </w:p>
    <w:p w14:paraId="526021DA">
      <w:pPr>
        <w:adjustRightInd w:val="0"/>
        <w:snapToGrid w:val="0"/>
        <w:spacing w:line="360" w:lineRule="auto"/>
        <w:jc w:val="left"/>
        <w:outlineLvl w:val="0"/>
        <w:rPr>
          <w:rFonts w:hint="eastAsia" w:ascii="宋体" w:hAnsi="宋体" w:cs="宋体"/>
          <w:b/>
          <w:sz w:val="32"/>
        </w:rPr>
      </w:pPr>
      <w:r>
        <w:rPr>
          <w:rFonts w:hint="eastAsia" w:ascii="宋体" w:hAnsi="宋体" w:cs="宋体"/>
          <w:b/>
          <w:sz w:val="32"/>
        </w:rPr>
        <w:t>附件</w:t>
      </w:r>
      <w:r>
        <w:rPr>
          <w:rFonts w:hint="eastAsia" w:ascii="宋体" w:hAnsi="宋体" w:cs="宋体"/>
          <w:b/>
          <w:sz w:val="32"/>
          <w:lang w:val="en-US" w:eastAsia="zh-CN"/>
        </w:rPr>
        <w:t>3</w:t>
      </w:r>
      <w:r>
        <w:rPr>
          <w:rFonts w:hint="eastAsia" w:ascii="宋体" w:hAnsi="宋体" w:cs="宋体"/>
          <w:b/>
          <w:sz w:val="32"/>
        </w:rPr>
        <w:t>：项目履约验收报告单</w:t>
      </w:r>
    </w:p>
    <w:p w14:paraId="5438598D">
      <w:pPr>
        <w:adjustRightInd w:val="0"/>
        <w:snapToGrid w:val="0"/>
        <w:ind w:firstLine="640" w:firstLineChars="200"/>
        <w:rPr>
          <w:rFonts w:ascii="宋体" w:hAnsi="宋体" w:cs="宋体"/>
          <w:b/>
          <w:sz w:val="32"/>
        </w:rPr>
      </w:pPr>
    </w:p>
    <w:p w14:paraId="35E5F18E">
      <w:pPr>
        <w:pStyle w:val="10"/>
        <w:rPr>
          <w:rFonts w:ascii="宋体" w:hAnsi="宋体" w:cs="宋体"/>
          <w:b/>
          <w:sz w:val="32"/>
        </w:rPr>
      </w:pPr>
    </w:p>
    <w:p w14:paraId="5170B65E">
      <w:pPr>
        <w:pStyle w:val="10"/>
        <w:rPr>
          <w:rFonts w:ascii="宋体" w:hAnsi="宋体" w:cs="宋体"/>
          <w:b/>
          <w:sz w:val="32"/>
        </w:rPr>
      </w:pPr>
    </w:p>
    <w:p w14:paraId="6C110F8F">
      <w:pPr>
        <w:pStyle w:val="10"/>
        <w:rPr>
          <w:rFonts w:ascii="宋体" w:hAnsi="宋体" w:cs="宋体"/>
          <w:b/>
          <w:sz w:val="32"/>
        </w:rPr>
      </w:pPr>
    </w:p>
    <w:p w14:paraId="658ED1DD">
      <w:pPr>
        <w:pStyle w:val="10"/>
        <w:rPr>
          <w:rFonts w:ascii="宋体" w:hAnsi="宋体" w:cs="宋体"/>
          <w:b/>
          <w:sz w:val="32"/>
        </w:rPr>
      </w:pPr>
    </w:p>
    <w:p w14:paraId="3316014C">
      <w:pPr>
        <w:pStyle w:val="10"/>
        <w:rPr>
          <w:rFonts w:ascii="宋体" w:hAnsi="宋体" w:cs="宋体"/>
          <w:b/>
          <w:sz w:val="32"/>
        </w:rPr>
      </w:pPr>
    </w:p>
    <w:p w14:paraId="6E3C9DAB">
      <w:pPr>
        <w:pStyle w:val="10"/>
        <w:rPr>
          <w:rFonts w:ascii="宋体" w:hAnsi="宋体" w:cs="宋体"/>
          <w:b/>
          <w:sz w:val="32"/>
        </w:rPr>
      </w:pPr>
    </w:p>
    <w:p w14:paraId="267999E4">
      <w:pPr>
        <w:pStyle w:val="10"/>
        <w:rPr>
          <w:rFonts w:ascii="宋体" w:hAnsi="宋体" w:cs="宋体"/>
          <w:b/>
          <w:sz w:val="32"/>
        </w:rPr>
      </w:pPr>
    </w:p>
    <w:p w14:paraId="2211818B">
      <w:pPr>
        <w:pStyle w:val="10"/>
        <w:rPr>
          <w:rFonts w:ascii="宋体" w:hAnsi="宋体" w:cs="宋体"/>
          <w:b/>
          <w:sz w:val="32"/>
        </w:rPr>
      </w:pPr>
    </w:p>
    <w:p w14:paraId="14A37070">
      <w:pPr>
        <w:pStyle w:val="10"/>
        <w:rPr>
          <w:rFonts w:ascii="宋体" w:hAnsi="宋体" w:cs="宋体"/>
          <w:b/>
          <w:sz w:val="32"/>
        </w:rPr>
      </w:pPr>
    </w:p>
    <w:p w14:paraId="5D1D4257">
      <w:pPr>
        <w:pStyle w:val="10"/>
        <w:rPr>
          <w:rFonts w:ascii="宋体" w:hAnsi="宋体" w:cs="宋体"/>
          <w:b/>
          <w:sz w:val="32"/>
        </w:rPr>
      </w:pPr>
    </w:p>
    <w:p w14:paraId="4686F2A6">
      <w:pPr>
        <w:pStyle w:val="10"/>
        <w:rPr>
          <w:rFonts w:ascii="宋体" w:hAnsi="宋体" w:cs="宋体"/>
          <w:b/>
          <w:sz w:val="32"/>
        </w:rPr>
      </w:pPr>
    </w:p>
    <w:p w14:paraId="4217AB7D">
      <w:pPr>
        <w:pStyle w:val="10"/>
        <w:rPr>
          <w:rFonts w:ascii="宋体" w:hAnsi="宋体" w:cs="宋体"/>
          <w:b/>
          <w:sz w:val="32"/>
        </w:rPr>
      </w:pPr>
    </w:p>
    <w:p w14:paraId="49307989">
      <w:pPr>
        <w:pStyle w:val="10"/>
        <w:rPr>
          <w:rFonts w:ascii="宋体" w:hAnsi="宋体" w:cs="宋体"/>
          <w:b/>
          <w:sz w:val="32"/>
        </w:rPr>
      </w:pPr>
    </w:p>
    <w:p w14:paraId="7BD2E357">
      <w:pPr>
        <w:pStyle w:val="10"/>
        <w:rPr>
          <w:rFonts w:ascii="宋体" w:hAnsi="宋体" w:cs="宋体"/>
          <w:b/>
          <w:sz w:val="32"/>
        </w:rPr>
      </w:pPr>
    </w:p>
    <w:p w14:paraId="2FD1395C">
      <w:pPr>
        <w:pStyle w:val="10"/>
        <w:rPr>
          <w:rFonts w:ascii="宋体" w:hAnsi="宋体" w:cs="宋体"/>
          <w:b/>
          <w:sz w:val="32"/>
        </w:rPr>
      </w:pPr>
    </w:p>
    <w:p w14:paraId="3F277B67">
      <w:pPr>
        <w:pStyle w:val="10"/>
        <w:rPr>
          <w:rFonts w:ascii="宋体" w:hAnsi="宋体" w:cs="宋体"/>
          <w:b/>
          <w:sz w:val="32"/>
        </w:rPr>
      </w:pPr>
    </w:p>
    <w:tbl>
      <w:tblPr>
        <w:tblStyle w:val="13"/>
        <w:tblpPr w:leftFromText="180" w:rightFromText="180" w:vertAnchor="text" w:horzAnchor="page" w:tblpX="1862" w:tblpY="449"/>
        <w:tblOverlap w:val="never"/>
        <w:tblW w:w="9239" w:type="dxa"/>
        <w:tblInd w:w="0" w:type="dxa"/>
        <w:tblLayout w:type="fixed"/>
        <w:tblCellMar>
          <w:top w:w="0" w:type="dxa"/>
          <w:left w:w="108" w:type="dxa"/>
          <w:bottom w:w="0" w:type="dxa"/>
          <w:right w:w="108" w:type="dxa"/>
        </w:tblCellMar>
      </w:tblPr>
      <w:tblGrid>
        <w:gridCol w:w="4304"/>
        <w:gridCol w:w="4935"/>
      </w:tblGrid>
      <w:tr w14:paraId="62960C31">
        <w:trPr>
          <w:trHeight w:val="1227" w:hRule="exact"/>
        </w:trPr>
        <w:tc>
          <w:tcPr>
            <w:tcW w:w="4304" w:type="dxa"/>
            <w:tcBorders>
              <w:top w:val="nil"/>
              <w:left w:val="nil"/>
              <w:bottom w:val="nil"/>
              <w:right w:val="nil"/>
            </w:tcBorders>
            <w:vAlign w:val="center"/>
          </w:tcPr>
          <w:p w14:paraId="211AA471">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甲方：</w:t>
            </w:r>
          </w:p>
        </w:tc>
        <w:tc>
          <w:tcPr>
            <w:tcW w:w="4935" w:type="dxa"/>
            <w:tcBorders>
              <w:top w:val="nil"/>
              <w:left w:val="nil"/>
              <w:bottom w:val="nil"/>
              <w:right w:val="nil"/>
            </w:tcBorders>
            <w:vAlign w:val="center"/>
          </w:tcPr>
          <w:p w14:paraId="16234836">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乙方：</w:t>
            </w:r>
          </w:p>
        </w:tc>
      </w:tr>
      <w:tr w14:paraId="36AAAEFF">
        <w:tblPrEx>
          <w:tblCellMar>
            <w:top w:w="0" w:type="dxa"/>
            <w:left w:w="108" w:type="dxa"/>
            <w:bottom w:w="0" w:type="dxa"/>
            <w:right w:w="108" w:type="dxa"/>
          </w:tblCellMar>
        </w:tblPrEx>
        <w:trPr>
          <w:trHeight w:val="567" w:hRule="exact"/>
        </w:trPr>
        <w:tc>
          <w:tcPr>
            <w:tcW w:w="4304" w:type="dxa"/>
            <w:tcBorders>
              <w:top w:val="nil"/>
              <w:left w:val="nil"/>
              <w:bottom w:val="nil"/>
              <w:right w:val="nil"/>
            </w:tcBorders>
            <w:vAlign w:val="center"/>
          </w:tcPr>
          <w:p w14:paraId="315EA611">
            <w:pPr>
              <w:autoSpaceDE w:val="0"/>
              <w:autoSpaceDN w:val="0"/>
              <w:adjustRightInd w:val="0"/>
              <w:ind w:firstLine="1260" w:firstLineChars="450"/>
              <w:rPr>
                <w:rFonts w:ascii="宋体" w:hAnsi="宋体" w:cs="宋体"/>
                <w:spacing w:val="-20"/>
                <w:kern w:val="0"/>
                <w:sz w:val="32"/>
                <w:szCs w:val="32"/>
              </w:rPr>
            </w:pPr>
            <w:r>
              <w:rPr>
                <w:rFonts w:hint="eastAsia" w:ascii="宋体" w:hAnsi="宋体" w:cs="宋体"/>
                <w:spacing w:val="-20"/>
                <w:kern w:val="0"/>
                <w:sz w:val="32"/>
                <w:szCs w:val="32"/>
              </w:rPr>
              <w:t>（盖章）</w:t>
            </w:r>
          </w:p>
        </w:tc>
        <w:tc>
          <w:tcPr>
            <w:tcW w:w="4935" w:type="dxa"/>
            <w:tcBorders>
              <w:top w:val="nil"/>
              <w:left w:val="nil"/>
              <w:bottom w:val="nil"/>
              <w:right w:val="nil"/>
            </w:tcBorders>
            <w:vAlign w:val="center"/>
          </w:tcPr>
          <w:p w14:paraId="1715B418">
            <w:pPr>
              <w:autoSpaceDE w:val="0"/>
              <w:autoSpaceDN w:val="0"/>
              <w:adjustRightInd w:val="0"/>
              <w:ind w:firstLine="1680" w:firstLineChars="600"/>
              <w:rPr>
                <w:rFonts w:ascii="宋体" w:hAnsi="宋体" w:cs="宋体"/>
                <w:spacing w:val="-20"/>
                <w:kern w:val="0"/>
                <w:sz w:val="32"/>
                <w:szCs w:val="32"/>
              </w:rPr>
            </w:pPr>
            <w:r>
              <w:rPr>
                <w:rFonts w:hint="eastAsia" w:ascii="宋体" w:hAnsi="宋体" w:cs="宋体"/>
                <w:spacing w:val="-20"/>
                <w:kern w:val="0"/>
                <w:sz w:val="32"/>
                <w:szCs w:val="32"/>
              </w:rPr>
              <w:t>（盖章）</w:t>
            </w:r>
          </w:p>
        </w:tc>
      </w:tr>
      <w:tr w14:paraId="1D9AB956">
        <w:tblPrEx>
          <w:tblCellMar>
            <w:top w:w="0" w:type="dxa"/>
            <w:left w:w="108" w:type="dxa"/>
            <w:bottom w:w="0" w:type="dxa"/>
            <w:right w:w="108" w:type="dxa"/>
          </w:tblCellMar>
        </w:tblPrEx>
        <w:trPr>
          <w:trHeight w:val="1227" w:hRule="exact"/>
        </w:trPr>
        <w:tc>
          <w:tcPr>
            <w:tcW w:w="4304" w:type="dxa"/>
            <w:tcBorders>
              <w:top w:val="nil"/>
              <w:left w:val="nil"/>
              <w:bottom w:val="nil"/>
              <w:right w:val="nil"/>
            </w:tcBorders>
            <w:vAlign w:val="center"/>
          </w:tcPr>
          <w:p w14:paraId="4D0841E8">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地址：</w:t>
            </w:r>
          </w:p>
        </w:tc>
        <w:tc>
          <w:tcPr>
            <w:tcW w:w="4935" w:type="dxa"/>
            <w:tcBorders>
              <w:top w:val="nil"/>
              <w:left w:val="nil"/>
              <w:bottom w:val="nil"/>
              <w:right w:val="nil"/>
            </w:tcBorders>
            <w:vAlign w:val="center"/>
          </w:tcPr>
          <w:p w14:paraId="50D52FE1">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地址：</w:t>
            </w:r>
          </w:p>
        </w:tc>
      </w:tr>
      <w:tr w14:paraId="6254DAA8">
        <w:tblPrEx>
          <w:tblCellMar>
            <w:top w:w="0" w:type="dxa"/>
            <w:left w:w="108" w:type="dxa"/>
            <w:bottom w:w="0" w:type="dxa"/>
            <w:right w:w="108" w:type="dxa"/>
          </w:tblCellMar>
        </w:tblPrEx>
        <w:trPr>
          <w:trHeight w:val="567" w:hRule="exact"/>
        </w:trPr>
        <w:tc>
          <w:tcPr>
            <w:tcW w:w="4304" w:type="dxa"/>
            <w:tcBorders>
              <w:top w:val="nil"/>
              <w:left w:val="nil"/>
              <w:bottom w:val="nil"/>
              <w:right w:val="nil"/>
            </w:tcBorders>
            <w:vAlign w:val="center"/>
          </w:tcPr>
          <w:p w14:paraId="53C4CF9D">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邮编：</w:t>
            </w:r>
          </w:p>
        </w:tc>
        <w:tc>
          <w:tcPr>
            <w:tcW w:w="4935" w:type="dxa"/>
            <w:tcBorders>
              <w:top w:val="nil"/>
              <w:left w:val="nil"/>
              <w:bottom w:val="nil"/>
              <w:right w:val="nil"/>
            </w:tcBorders>
            <w:vAlign w:val="center"/>
          </w:tcPr>
          <w:p w14:paraId="405D9CCA">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邮编：</w:t>
            </w:r>
          </w:p>
        </w:tc>
      </w:tr>
      <w:tr w14:paraId="53FD458F">
        <w:tblPrEx>
          <w:tblCellMar>
            <w:top w:w="0" w:type="dxa"/>
            <w:left w:w="108" w:type="dxa"/>
            <w:bottom w:w="0" w:type="dxa"/>
            <w:right w:w="108" w:type="dxa"/>
          </w:tblCellMar>
        </w:tblPrEx>
        <w:trPr>
          <w:trHeight w:val="567" w:hRule="exact"/>
        </w:trPr>
        <w:tc>
          <w:tcPr>
            <w:tcW w:w="4304" w:type="dxa"/>
            <w:tcBorders>
              <w:top w:val="nil"/>
              <w:left w:val="nil"/>
              <w:bottom w:val="nil"/>
              <w:right w:val="nil"/>
            </w:tcBorders>
            <w:vAlign w:val="center"/>
          </w:tcPr>
          <w:p w14:paraId="6C5540BC">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 xml:space="preserve">法定代表人： </w:t>
            </w:r>
          </w:p>
        </w:tc>
        <w:tc>
          <w:tcPr>
            <w:tcW w:w="4935" w:type="dxa"/>
            <w:tcBorders>
              <w:top w:val="nil"/>
              <w:left w:val="nil"/>
              <w:bottom w:val="nil"/>
              <w:right w:val="nil"/>
            </w:tcBorders>
            <w:vAlign w:val="center"/>
          </w:tcPr>
          <w:p w14:paraId="1DA1671B">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法定代表人：</w:t>
            </w:r>
          </w:p>
        </w:tc>
      </w:tr>
      <w:tr w14:paraId="39D520D5">
        <w:tblPrEx>
          <w:tblCellMar>
            <w:top w:w="0" w:type="dxa"/>
            <w:left w:w="108" w:type="dxa"/>
            <w:bottom w:w="0" w:type="dxa"/>
            <w:right w:w="108" w:type="dxa"/>
          </w:tblCellMar>
        </w:tblPrEx>
        <w:trPr>
          <w:trHeight w:val="567" w:hRule="exact"/>
        </w:trPr>
        <w:tc>
          <w:tcPr>
            <w:tcW w:w="4304" w:type="dxa"/>
            <w:tcBorders>
              <w:top w:val="nil"/>
              <w:left w:val="nil"/>
              <w:bottom w:val="nil"/>
              <w:right w:val="nil"/>
            </w:tcBorders>
            <w:vAlign w:val="center"/>
          </w:tcPr>
          <w:p w14:paraId="3662551E">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被授权代表：</w:t>
            </w:r>
          </w:p>
        </w:tc>
        <w:tc>
          <w:tcPr>
            <w:tcW w:w="4935" w:type="dxa"/>
            <w:tcBorders>
              <w:top w:val="nil"/>
              <w:left w:val="nil"/>
              <w:bottom w:val="nil"/>
              <w:right w:val="nil"/>
            </w:tcBorders>
            <w:vAlign w:val="center"/>
          </w:tcPr>
          <w:p w14:paraId="75683564">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被授权代表：</w:t>
            </w:r>
          </w:p>
        </w:tc>
      </w:tr>
      <w:tr w14:paraId="3755B199">
        <w:tblPrEx>
          <w:tblCellMar>
            <w:top w:w="0" w:type="dxa"/>
            <w:left w:w="108" w:type="dxa"/>
            <w:bottom w:w="0" w:type="dxa"/>
            <w:right w:w="108" w:type="dxa"/>
          </w:tblCellMar>
        </w:tblPrEx>
        <w:trPr>
          <w:trHeight w:val="567" w:hRule="exact"/>
        </w:trPr>
        <w:tc>
          <w:tcPr>
            <w:tcW w:w="4304" w:type="dxa"/>
            <w:tcBorders>
              <w:top w:val="nil"/>
              <w:left w:val="nil"/>
              <w:bottom w:val="nil"/>
              <w:right w:val="nil"/>
            </w:tcBorders>
            <w:vAlign w:val="center"/>
          </w:tcPr>
          <w:p w14:paraId="40596D9C">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电话：</w:t>
            </w:r>
          </w:p>
        </w:tc>
        <w:tc>
          <w:tcPr>
            <w:tcW w:w="4935" w:type="dxa"/>
            <w:tcBorders>
              <w:top w:val="nil"/>
              <w:left w:val="nil"/>
              <w:bottom w:val="nil"/>
              <w:right w:val="nil"/>
            </w:tcBorders>
            <w:vAlign w:val="center"/>
          </w:tcPr>
          <w:p w14:paraId="41CED888">
            <w:pPr>
              <w:autoSpaceDE w:val="0"/>
              <w:autoSpaceDN w:val="0"/>
              <w:adjustRightInd w:val="0"/>
              <w:ind w:left="840" w:hanging="840" w:hangingChars="300"/>
              <w:rPr>
                <w:rFonts w:ascii="宋体" w:hAnsi="宋体" w:cs="宋体"/>
                <w:spacing w:val="-20"/>
                <w:kern w:val="0"/>
                <w:sz w:val="32"/>
                <w:szCs w:val="32"/>
              </w:rPr>
            </w:pPr>
            <w:r>
              <w:rPr>
                <w:rFonts w:hint="eastAsia" w:ascii="宋体" w:hAnsi="宋体" w:cs="宋体"/>
                <w:spacing w:val="-20"/>
                <w:kern w:val="0"/>
                <w:sz w:val="32"/>
                <w:szCs w:val="32"/>
              </w:rPr>
              <w:t>电话：</w:t>
            </w:r>
          </w:p>
        </w:tc>
      </w:tr>
      <w:tr w14:paraId="47410F72">
        <w:tblPrEx>
          <w:tblCellMar>
            <w:top w:w="0" w:type="dxa"/>
            <w:left w:w="108" w:type="dxa"/>
            <w:bottom w:w="0" w:type="dxa"/>
            <w:right w:w="108" w:type="dxa"/>
          </w:tblCellMar>
        </w:tblPrEx>
        <w:trPr>
          <w:trHeight w:val="567" w:hRule="exact"/>
        </w:trPr>
        <w:tc>
          <w:tcPr>
            <w:tcW w:w="4304" w:type="dxa"/>
            <w:tcBorders>
              <w:top w:val="nil"/>
              <w:left w:val="nil"/>
              <w:bottom w:val="nil"/>
              <w:right w:val="nil"/>
            </w:tcBorders>
            <w:vAlign w:val="center"/>
          </w:tcPr>
          <w:p w14:paraId="6D8B0C67">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传真：</w:t>
            </w:r>
          </w:p>
        </w:tc>
        <w:tc>
          <w:tcPr>
            <w:tcW w:w="4935" w:type="dxa"/>
            <w:tcBorders>
              <w:top w:val="nil"/>
              <w:left w:val="nil"/>
              <w:bottom w:val="nil"/>
              <w:right w:val="nil"/>
            </w:tcBorders>
            <w:vAlign w:val="center"/>
          </w:tcPr>
          <w:p w14:paraId="0A67B2BF">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传真：</w:t>
            </w:r>
          </w:p>
        </w:tc>
      </w:tr>
      <w:tr w14:paraId="78138633">
        <w:tblPrEx>
          <w:tblCellMar>
            <w:top w:w="0" w:type="dxa"/>
            <w:left w:w="108" w:type="dxa"/>
            <w:bottom w:w="0" w:type="dxa"/>
            <w:right w:w="108" w:type="dxa"/>
          </w:tblCellMar>
        </w:tblPrEx>
        <w:trPr>
          <w:trHeight w:val="1242" w:hRule="exact"/>
        </w:trPr>
        <w:tc>
          <w:tcPr>
            <w:tcW w:w="4304" w:type="dxa"/>
            <w:tcBorders>
              <w:top w:val="nil"/>
              <w:left w:val="nil"/>
              <w:bottom w:val="nil"/>
              <w:right w:val="nil"/>
            </w:tcBorders>
            <w:vAlign w:val="center"/>
          </w:tcPr>
          <w:p w14:paraId="25FA5BE3">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开户银行：</w:t>
            </w:r>
          </w:p>
        </w:tc>
        <w:tc>
          <w:tcPr>
            <w:tcW w:w="4935" w:type="dxa"/>
            <w:tcBorders>
              <w:top w:val="nil"/>
              <w:left w:val="nil"/>
              <w:bottom w:val="nil"/>
              <w:right w:val="nil"/>
            </w:tcBorders>
            <w:vAlign w:val="center"/>
          </w:tcPr>
          <w:p w14:paraId="10A3D448">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开户银行：</w:t>
            </w:r>
          </w:p>
        </w:tc>
      </w:tr>
      <w:tr w14:paraId="258D5001">
        <w:tblPrEx>
          <w:tblCellMar>
            <w:top w:w="0" w:type="dxa"/>
            <w:left w:w="108" w:type="dxa"/>
            <w:bottom w:w="0" w:type="dxa"/>
            <w:right w:w="108" w:type="dxa"/>
          </w:tblCellMar>
        </w:tblPrEx>
        <w:trPr>
          <w:trHeight w:val="567" w:hRule="exact"/>
        </w:trPr>
        <w:tc>
          <w:tcPr>
            <w:tcW w:w="4304" w:type="dxa"/>
            <w:tcBorders>
              <w:top w:val="nil"/>
              <w:left w:val="nil"/>
              <w:bottom w:val="nil"/>
              <w:right w:val="nil"/>
            </w:tcBorders>
            <w:vAlign w:val="center"/>
          </w:tcPr>
          <w:p w14:paraId="20104DA3">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银行账号：</w:t>
            </w:r>
          </w:p>
        </w:tc>
        <w:tc>
          <w:tcPr>
            <w:tcW w:w="4935" w:type="dxa"/>
            <w:tcBorders>
              <w:top w:val="nil"/>
              <w:left w:val="nil"/>
              <w:bottom w:val="nil"/>
              <w:right w:val="nil"/>
            </w:tcBorders>
            <w:vAlign w:val="center"/>
          </w:tcPr>
          <w:p w14:paraId="2C7F2A7A">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银行账号：</w:t>
            </w:r>
          </w:p>
        </w:tc>
      </w:tr>
      <w:tr w14:paraId="0ACAF1DC">
        <w:tblPrEx>
          <w:tblCellMar>
            <w:top w:w="0" w:type="dxa"/>
            <w:left w:w="108" w:type="dxa"/>
            <w:bottom w:w="0" w:type="dxa"/>
            <w:right w:w="108" w:type="dxa"/>
          </w:tblCellMar>
        </w:tblPrEx>
        <w:trPr>
          <w:trHeight w:val="567" w:hRule="exact"/>
        </w:trPr>
        <w:tc>
          <w:tcPr>
            <w:tcW w:w="4304" w:type="dxa"/>
            <w:tcBorders>
              <w:top w:val="nil"/>
              <w:left w:val="nil"/>
              <w:bottom w:val="nil"/>
              <w:right w:val="nil"/>
            </w:tcBorders>
            <w:vAlign w:val="center"/>
          </w:tcPr>
          <w:p w14:paraId="39430D5B">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日期：</w:t>
            </w:r>
          </w:p>
        </w:tc>
        <w:tc>
          <w:tcPr>
            <w:tcW w:w="4935" w:type="dxa"/>
            <w:tcBorders>
              <w:top w:val="nil"/>
              <w:left w:val="nil"/>
              <w:bottom w:val="nil"/>
              <w:right w:val="nil"/>
            </w:tcBorders>
            <w:vAlign w:val="center"/>
          </w:tcPr>
          <w:p w14:paraId="5C64317A">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日期：</w:t>
            </w:r>
          </w:p>
        </w:tc>
      </w:tr>
    </w:tbl>
    <w:p w14:paraId="19D06BFE">
      <w:pPr>
        <w:pStyle w:val="2"/>
        <w:ind w:firstLine="0" w:firstLineChars="0"/>
        <w:rPr>
          <w:rFonts w:ascii="宋体" w:hAnsi="宋体" w:cs="宋体"/>
          <w:b/>
          <w:sz w:val="32"/>
        </w:rPr>
      </w:pPr>
    </w:p>
    <w:p w14:paraId="4F1F44B9">
      <w:pPr>
        <w:spacing w:before="380" w:after="140" w:line="288" w:lineRule="auto"/>
        <w:jc w:val="center"/>
        <w:outlineLvl w:val="0"/>
        <w:rPr>
          <w:rFonts w:ascii="Arial" w:hAnsi="Arial" w:eastAsia="等线" w:cs="Arial"/>
          <w:b/>
          <w:sz w:val="36"/>
        </w:rPr>
      </w:pPr>
    </w:p>
    <w:p w14:paraId="56197CE4">
      <w:pPr>
        <w:adjustRightInd w:val="0"/>
        <w:snapToGrid w:val="0"/>
        <w:spacing w:line="360" w:lineRule="auto"/>
        <w:outlineLvl w:val="0"/>
        <w:rPr>
          <w:rFonts w:hint="eastAsia" w:ascii="宋体" w:hAnsi="宋体" w:cs="宋体"/>
          <w:b/>
          <w:sz w:val="32"/>
        </w:rPr>
      </w:pPr>
    </w:p>
    <w:p w14:paraId="35BC49BE">
      <w:pPr>
        <w:pStyle w:val="10"/>
        <w:rPr>
          <w:rFonts w:ascii="宋体" w:hAnsi="宋体" w:cs="宋体"/>
          <w:b/>
          <w:sz w:val="32"/>
        </w:rPr>
      </w:pPr>
    </w:p>
    <w:p w14:paraId="2954ECA9">
      <w:pPr>
        <w:pStyle w:val="10"/>
        <w:rPr>
          <w:rFonts w:ascii="宋体" w:hAnsi="宋体" w:cs="宋体"/>
          <w:b/>
          <w:sz w:val="32"/>
        </w:rPr>
      </w:pPr>
    </w:p>
    <w:p w14:paraId="66FF125C">
      <w:pPr>
        <w:pStyle w:val="10"/>
        <w:rPr>
          <w:rFonts w:ascii="宋体" w:hAnsi="宋体" w:cs="宋体"/>
          <w:b/>
          <w:sz w:val="32"/>
        </w:rPr>
      </w:pPr>
    </w:p>
    <w:p w14:paraId="2DDF2D74">
      <w:pPr>
        <w:pStyle w:val="2"/>
        <w:ind w:firstLine="0" w:firstLineChars="0"/>
      </w:pPr>
    </w:p>
    <w:p w14:paraId="40ED7365">
      <w:pPr>
        <w:rPr>
          <w:rFonts w:hint="eastAsia"/>
          <w:color w:val="000000"/>
          <w:sz w:val="30"/>
          <w:szCs w:val="30"/>
        </w:rPr>
      </w:pPr>
    </w:p>
    <w:p w14:paraId="68925196">
      <w:pPr>
        <w:rPr>
          <w:rFonts w:hint="eastAsia"/>
          <w:color w:val="000000"/>
          <w:sz w:val="30"/>
          <w:szCs w:val="30"/>
        </w:rPr>
      </w:pPr>
    </w:p>
    <w:p w14:paraId="7E2EDB50">
      <w:pPr>
        <w:rPr>
          <w:rFonts w:hint="eastAsia"/>
          <w:color w:val="000000"/>
          <w:sz w:val="30"/>
          <w:szCs w:val="30"/>
        </w:rPr>
      </w:pPr>
    </w:p>
    <w:p w14:paraId="53CF6B2F">
      <w:pPr>
        <w:rPr>
          <w:rFonts w:hint="eastAsia"/>
          <w:color w:val="000000"/>
          <w:sz w:val="30"/>
          <w:szCs w:val="30"/>
        </w:rPr>
      </w:pPr>
    </w:p>
    <w:p w14:paraId="5F5157DC">
      <w:pPr>
        <w:rPr>
          <w:rFonts w:hint="eastAsia"/>
          <w:color w:val="000000"/>
          <w:sz w:val="30"/>
          <w:szCs w:val="30"/>
        </w:rPr>
      </w:pPr>
    </w:p>
    <w:p w14:paraId="24D08B75">
      <w:pPr>
        <w:rPr>
          <w:rFonts w:hint="eastAsia"/>
          <w:color w:val="000000"/>
          <w:sz w:val="30"/>
          <w:szCs w:val="30"/>
        </w:rPr>
      </w:pPr>
    </w:p>
    <w:p w14:paraId="0708ECCB">
      <w:pPr>
        <w:rPr>
          <w:rFonts w:hint="eastAsia"/>
          <w:color w:val="000000"/>
          <w:sz w:val="30"/>
          <w:szCs w:val="30"/>
        </w:rPr>
      </w:pPr>
    </w:p>
    <w:p w14:paraId="6A4BD15A">
      <w:pPr>
        <w:rPr>
          <w:rFonts w:hint="eastAsia"/>
          <w:color w:val="000000"/>
          <w:sz w:val="30"/>
          <w:szCs w:val="30"/>
        </w:rPr>
      </w:pPr>
    </w:p>
    <w:p w14:paraId="4938E749">
      <w:pPr>
        <w:rPr>
          <w:rFonts w:hint="eastAsia"/>
          <w:color w:val="000000"/>
          <w:sz w:val="30"/>
          <w:szCs w:val="30"/>
        </w:rPr>
      </w:pPr>
    </w:p>
    <w:p w14:paraId="0FDCBDB0">
      <w:pPr>
        <w:rPr>
          <w:rFonts w:hint="eastAsia"/>
          <w:color w:val="000000"/>
          <w:sz w:val="30"/>
          <w:szCs w:val="30"/>
        </w:rPr>
      </w:pPr>
    </w:p>
    <w:p w14:paraId="145BB0BC">
      <w:pPr>
        <w:rPr>
          <w:rFonts w:hint="eastAsia"/>
          <w:color w:val="000000"/>
          <w:sz w:val="30"/>
          <w:szCs w:val="30"/>
        </w:rPr>
      </w:pPr>
    </w:p>
    <w:p w14:paraId="01B513A5">
      <w:pPr>
        <w:rPr>
          <w:rFonts w:hint="eastAsia"/>
          <w:color w:val="000000"/>
          <w:sz w:val="30"/>
          <w:szCs w:val="30"/>
        </w:rPr>
      </w:pPr>
    </w:p>
    <w:p w14:paraId="2AA6FD43">
      <w:pPr>
        <w:rPr>
          <w:rFonts w:hint="eastAsia"/>
          <w:color w:val="000000"/>
          <w:sz w:val="30"/>
          <w:szCs w:val="30"/>
        </w:rPr>
      </w:pPr>
    </w:p>
    <w:p w14:paraId="2F289A7E">
      <w:pPr>
        <w:rPr>
          <w:rFonts w:hint="eastAsia"/>
          <w:color w:val="000000"/>
          <w:sz w:val="30"/>
          <w:szCs w:val="30"/>
        </w:rPr>
      </w:pPr>
    </w:p>
    <w:p w14:paraId="58B964B1">
      <w:pPr>
        <w:rPr>
          <w:rFonts w:hint="eastAsia"/>
          <w:color w:val="000000"/>
          <w:sz w:val="30"/>
          <w:szCs w:val="30"/>
        </w:rPr>
      </w:pPr>
    </w:p>
    <w:p w14:paraId="56795774">
      <w:pPr>
        <w:rPr>
          <w:color w:val="000000"/>
          <w:sz w:val="30"/>
          <w:szCs w:val="30"/>
        </w:rPr>
      </w:pPr>
      <w:r>
        <w:rPr>
          <w:rFonts w:hint="eastAsia"/>
          <w:color w:val="000000"/>
          <w:sz w:val="30"/>
          <w:szCs w:val="30"/>
        </w:rPr>
        <w:t>附件1：</w:t>
      </w:r>
    </w:p>
    <w:p w14:paraId="081CE299">
      <w:pPr>
        <w:adjustRightInd w:val="0"/>
        <w:snapToGrid w:val="0"/>
        <w:jc w:val="center"/>
        <w:outlineLvl w:val="0"/>
        <w:rPr>
          <w:rFonts w:ascii="宋体" w:hAnsi="宋体" w:cs="宋体"/>
          <w:b/>
          <w:sz w:val="32"/>
        </w:rPr>
      </w:pPr>
      <w:r>
        <w:rPr>
          <w:rFonts w:hint="eastAsia" w:ascii="宋体" w:hAnsi="宋体" w:cs="宋体"/>
          <w:b/>
          <w:sz w:val="32"/>
        </w:rPr>
        <w:t>西安市地下综合管廊建设PPP项目绩效评价咨询服务项目</w:t>
      </w:r>
    </w:p>
    <w:p w14:paraId="572DB8CF">
      <w:pPr>
        <w:adjustRightInd w:val="0"/>
        <w:snapToGrid w:val="0"/>
        <w:jc w:val="center"/>
        <w:outlineLvl w:val="0"/>
        <w:rPr>
          <w:rFonts w:ascii="宋体" w:hAnsi="宋体" w:cs="宋体"/>
          <w:b/>
          <w:sz w:val="32"/>
        </w:rPr>
      </w:pPr>
      <w:r>
        <w:rPr>
          <w:rFonts w:hint="eastAsia" w:ascii="宋体" w:hAnsi="宋体" w:cs="宋体"/>
          <w:b/>
          <w:sz w:val="32"/>
        </w:rPr>
        <w:t>服务人员名单</w:t>
      </w:r>
    </w:p>
    <w:tbl>
      <w:tblPr>
        <w:tblStyle w:val="13"/>
        <w:tblpPr w:leftFromText="180" w:rightFromText="180" w:vertAnchor="text" w:horzAnchor="page" w:tblpX="1538" w:tblpY="278"/>
        <w:tblOverlap w:val="never"/>
        <w:tblW w:w="515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1713"/>
        <w:gridCol w:w="1713"/>
        <w:gridCol w:w="878"/>
        <w:gridCol w:w="1382"/>
        <w:gridCol w:w="2729"/>
      </w:tblGrid>
      <w:tr w14:paraId="46AC8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3" w:type="dxa"/>
            <w:tcBorders>
              <w:top w:val="single" w:color="auto" w:sz="4" w:space="0"/>
              <w:left w:val="single" w:color="auto" w:sz="4" w:space="0"/>
              <w:bottom w:val="single" w:color="auto" w:sz="4" w:space="0"/>
              <w:right w:val="single" w:color="auto" w:sz="4" w:space="0"/>
            </w:tcBorders>
            <w:noWrap/>
            <w:vAlign w:val="center"/>
          </w:tcPr>
          <w:p w14:paraId="1017C401">
            <w:pPr>
              <w:jc w:val="center"/>
              <w:rPr>
                <w:rFonts w:ascii="宋体" w:hAnsi="宋体" w:cs="宋体"/>
                <w:szCs w:val="21"/>
              </w:rPr>
            </w:pPr>
            <w:r>
              <w:rPr>
                <w:rFonts w:hint="eastAsia" w:ascii="宋体" w:hAnsi="宋体" w:cs="宋体"/>
                <w:szCs w:val="21"/>
              </w:rPr>
              <w:t>姓名</w:t>
            </w:r>
          </w:p>
        </w:tc>
        <w:tc>
          <w:tcPr>
            <w:tcW w:w="1715" w:type="dxa"/>
            <w:tcBorders>
              <w:left w:val="single" w:color="auto" w:sz="4" w:space="0"/>
            </w:tcBorders>
            <w:noWrap/>
            <w:vAlign w:val="center"/>
          </w:tcPr>
          <w:p w14:paraId="7AC715EE">
            <w:pPr>
              <w:jc w:val="center"/>
              <w:rPr>
                <w:rFonts w:ascii="宋体" w:hAnsi="宋体" w:cs="宋体"/>
                <w:szCs w:val="21"/>
              </w:rPr>
            </w:pPr>
            <w:r>
              <w:rPr>
                <w:rFonts w:hint="eastAsia" w:ascii="宋体" w:hAnsi="宋体" w:cs="宋体"/>
                <w:szCs w:val="21"/>
              </w:rPr>
              <w:t>岗位职责</w:t>
            </w:r>
          </w:p>
        </w:tc>
        <w:tc>
          <w:tcPr>
            <w:tcW w:w="1715" w:type="dxa"/>
            <w:tcBorders>
              <w:left w:val="single" w:color="auto" w:sz="4" w:space="0"/>
            </w:tcBorders>
            <w:noWrap/>
            <w:vAlign w:val="center"/>
          </w:tcPr>
          <w:p w14:paraId="42A134CF">
            <w:pPr>
              <w:jc w:val="center"/>
              <w:rPr>
                <w:rFonts w:ascii="宋体" w:hAnsi="宋体" w:cs="宋体"/>
                <w:szCs w:val="21"/>
              </w:rPr>
            </w:pPr>
            <w:r>
              <w:rPr>
                <w:rFonts w:hint="eastAsia" w:ascii="宋体" w:hAnsi="宋体" w:cs="宋体"/>
                <w:szCs w:val="21"/>
              </w:rPr>
              <w:t>资格/注册证书</w:t>
            </w:r>
          </w:p>
        </w:tc>
        <w:tc>
          <w:tcPr>
            <w:tcW w:w="870" w:type="dxa"/>
            <w:noWrap/>
            <w:vAlign w:val="center"/>
          </w:tcPr>
          <w:p w14:paraId="3D73D206">
            <w:pPr>
              <w:jc w:val="center"/>
              <w:rPr>
                <w:rFonts w:ascii="宋体" w:hAnsi="宋体" w:cs="宋体"/>
                <w:szCs w:val="21"/>
              </w:rPr>
            </w:pPr>
            <w:r>
              <w:rPr>
                <w:rFonts w:hint="eastAsia" w:ascii="宋体" w:hAnsi="宋体" w:cs="宋体"/>
                <w:szCs w:val="21"/>
              </w:rPr>
              <w:t>学历</w:t>
            </w:r>
          </w:p>
        </w:tc>
        <w:tc>
          <w:tcPr>
            <w:tcW w:w="1380" w:type="dxa"/>
            <w:tcBorders>
              <w:left w:val="single" w:color="auto" w:sz="2" w:space="0"/>
              <w:right w:val="single" w:color="auto" w:sz="4" w:space="0"/>
            </w:tcBorders>
            <w:noWrap/>
            <w:vAlign w:val="center"/>
          </w:tcPr>
          <w:p w14:paraId="1F4D0E71">
            <w:pPr>
              <w:jc w:val="center"/>
              <w:rPr>
                <w:rFonts w:ascii="宋体" w:hAnsi="宋体" w:cs="宋体"/>
                <w:szCs w:val="21"/>
              </w:rPr>
            </w:pPr>
            <w:r>
              <w:rPr>
                <w:rFonts w:hint="eastAsia" w:ascii="宋体" w:hAnsi="宋体" w:cs="宋体"/>
                <w:szCs w:val="21"/>
              </w:rPr>
              <w:t>专业</w:t>
            </w:r>
          </w:p>
        </w:tc>
        <w:tc>
          <w:tcPr>
            <w:tcW w:w="2743" w:type="dxa"/>
            <w:tcBorders>
              <w:left w:val="single" w:color="auto" w:sz="2" w:space="0"/>
              <w:right w:val="single" w:color="auto" w:sz="4" w:space="0"/>
            </w:tcBorders>
            <w:noWrap/>
            <w:vAlign w:val="center"/>
          </w:tcPr>
          <w:p w14:paraId="6A2FCBDB">
            <w:pPr>
              <w:jc w:val="center"/>
              <w:rPr>
                <w:rFonts w:ascii="宋体" w:hAnsi="宋体" w:cs="宋体"/>
                <w:szCs w:val="21"/>
              </w:rPr>
            </w:pPr>
            <w:r>
              <w:rPr>
                <w:rFonts w:hint="eastAsia" w:ascii="宋体" w:hAnsi="宋体" w:cs="宋体"/>
                <w:szCs w:val="21"/>
              </w:rPr>
              <w:t>证书编号</w:t>
            </w:r>
          </w:p>
        </w:tc>
      </w:tr>
      <w:tr w14:paraId="0A9AA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3" w:type="dxa"/>
            <w:tcBorders>
              <w:top w:val="single" w:color="auto" w:sz="4" w:space="0"/>
              <w:left w:val="single" w:color="auto" w:sz="4" w:space="0"/>
              <w:bottom w:val="single" w:color="auto" w:sz="4" w:space="0"/>
              <w:right w:val="single" w:color="auto" w:sz="4" w:space="0"/>
            </w:tcBorders>
            <w:noWrap/>
            <w:vAlign w:val="center"/>
          </w:tcPr>
          <w:p w14:paraId="6337D1A9">
            <w:pPr>
              <w:jc w:val="center"/>
              <w:rPr>
                <w:rFonts w:ascii="宋体" w:hAnsi="宋体" w:cs="宋体"/>
                <w:color w:val="000000"/>
                <w:szCs w:val="21"/>
              </w:rPr>
            </w:pPr>
          </w:p>
        </w:tc>
        <w:tc>
          <w:tcPr>
            <w:tcW w:w="1715" w:type="dxa"/>
            <w:tcBorders>
              <w:left w:val="single" w:color="auto" w:sz="4" w:space="0"/>
            </w:tcBorders>
            <w:noWrap/>
            <w:vAlign w:val="center"/>
          </w:tcPr>
          <w:p w14:paraId="6F73228C">
            <w:pPr>
              <w:jc w:val="center"/>
              <w:rPr>
                <w:rFonts w:ascii="宋体" w:hAnsi="宋体" w:cs="宋体"/>
                <w:color w:val="000000"/>
                <w:szCs w:val="21"/>
              </w:rPr>
            </w:pPr>
          </w:p>
        </w:tc>
        <w:tc>
          <w:tcPr>
            <w:tcW w:w="1715" w:type="dxa"/>
            <w:tcBorders>
              <w:left w:val="single" w:color="auto" w:sz="4" w:space="0"/>
            </w:tcBorders>
            <w:noWrap/>
            <w:vAlign w:val="center"/>
          </w:tcPr>
          <w:p w14:paraId="2F01531D">
            <w:pPr>
              <w:jc w:val="center"/>
              <w:rPr>
                <w:rFonts w:ascii="宋体" w:hAnsi="宋体" w:cs="宋体"/>
                <w:color w:val="000000"/>
                <w:szCs w:val="21"/>
              </w:rPr>
            </w:pPr>
          </w:p>
        </w:tc>
        <w:tc>
          <w:tcPr>
            <w:tcW w:w="870" w:type="dxa"/>
            <w:noWrap/>
            <w:vAlign w:val="center"/>
          </w:tcPr>
          <w:p w14:paraId="60DE5BEC">
            <w:pPr>
              <w:jc w:val="center"/>
              <w:rPr>
                <w:rFonts w:ascii="宋体" w:hAnsi="宋体" w:cs="宋体"/>
                <w:b/>
                <w:bCs/>
                <w:color w:val="000000"/>
                <w:szCs w:val="21"/>
              </w:rPr>
            </w:pPr>
          </w:p>
        </w:tc>
        <w:tc>
          <w:tcPr>
            <w:tcW w:w="1380" w:type="dxa"/>
            <w:tcBorders>
              <w:left w:val="single" w:color="auto" w:sz="2" w:space="0"/>
              <w:right w:val="single" w:color="auto" w:sz="4" w:space="0"/>
            </w:tcBorders>
            <w:noWrap/>
            <w:vAlign w:val="center"/>
          </w:tcPr>
          <w:p w14:paraId="4D794526">
            <w:pPr>
              <w:jc w:val="center"/>
              <w:rPr>
                <w:rFonts w:ascii="宋体" w:hAnsi="宋体" w:cs="宋体"/>
                <w:color w:val="000000"/>
                <w:szCs w:val="21"/>
              </w:rPr>
            </w:pPr>
          </w:p>
        </w:tc>
        <w:tc>
          <w:tcPr>
            <w:tcW w:w="2743" w:type="dxa"/>
            <w:tcBorders>
              <w:left w:val="single" w:color="auto" w:sz="2" w:space="0"/>
              <w:right w:val="single" w:color="auto" w:sz="4" w:space="0"/>
            </w:tcBorders>
            <w:noWrap/>
            <w:vAlign w:val="center"/>
          </w:tcPr>
          <w:p w14:paraId="405EA988">
            <w:pPr>
              <w:jc w:val="center"/>
              <w:rPr>
                <w:rFonts w:ascii="宋体" w:hAnsi="宋体" w:cs="宋体"/>
                <w:color w:val="000000"/>
                <w:szCs w:val="21"/>
              </w:rPr>
            </w:pPr>
          </w:p>
        </w:tc>
      </w:tr>
      <w:tr w14:paraId="0C80C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3" w:type="dxa"/>
            <w:tcBorders>
              <w:top w:val="single" w:color="auto" w:sz="4" w:space="0"/>
              <w:left w:val="single" w:color="auto" w:sz="4" w:space="0"/>
              <w:bottom w:val="single" w:color="auto" w:sz="4" w:space="0"/>
              <w:right w:val="single" w:color="auto" w:sz="4" w:space="0"/>
            </w:tcBorders>
            <w:noWrap/>
            <w:vAlign w:val="center"/>
          </w:tcPr>
          <w:p w14:paraId="692D809E">
            <w:pPr>
              <w:jc w:val="center"/>
              <w:rPr>
                <w:rFonts w:ascii="宋体" w:hAnsi="宋体" w:cs="宋体"/>
                <w:color w:val="000000"/>
                <w:szCs w:val="21"/>
              </w:rPr>
            </w:pPr>
          </w:p>
        </w:tc>
        <w:tc>
          <w:tcPr>
            <w:tcW w:w="1715" w:type="dxa"/>
            <w:tcBorders>
              <w:left w:val="single" w:color="auto" w:sz="4" w:space="0"/>
            </w:tcBorders>
            <w:noWrap/>
            <w:vAlign w:val="center"/>
          </w:tcPr>
          <w:p w14:paraId="11AC15B4">
            <w:pPr>
              <w:jc w:val="center"/>
              <w:rPr>
                <w:rFonts w:ascii="宋体" w:hAnsi="宋体" w:cs="宋体"/>
                <w:color w:val="000000"/>
                <w:szCs w:val="21"/>
              </w:rPr>
            </w:pPr>
          </w:p>
        </w:tc>
        <w:tc>
          <w:tcPr>
            <w:tcW w:w="1715" w:type="dxa"/>
            <w:tcBorders>
              <w:left w:val="single" w:color="auto" w:sz="4" w:space="0"/>
            </w:tcBorders>
            <w:noWrap/>
            <w:vAlign w:val="center"/>
          </w:tcPr>
          <w:p w14:paraId="11C947E0">
            <w:pPr>
              <w:jc w:val="center"/>
              <w:rPr>
                <w:rFonts w:ascii="宋体" w:hAnsi="宋体" w:cs="宋体"/>
                <w:color w:val="000000"/>
                <w:szCs w:val="21"/>
              </w:rPr>
            </w:pPr>
          </w:p>
        </w:tc>
        <w:tc>
          <w:tcPr>
            <w:tcW w:w="870" w:type="dxa"/>
            <w:noWrap/>
            <w:vAlign w:val="center"/>
          </w:tcPr>
          <w:p w14:paraId="71D719AA">
            <w:pPr>
              <w:jc w:val="center"/>
              <w:rPr>
                <w:rFonts w:ascii="宋体" w:hAnsi="宋体" w:cs="宋体"/>
                <w:b/>
                <w:bCs/>
                <w:color w:val="000000"/>
                <w:szCs w:val="21"/>
              </w:rPr>
            </w:pPr>
          </w:p>
        </w:tc>
        <w:tc>
          <w:tcPr>
            <w:tcW w:w="1380" w:type="dxa"/>
            <w:tcBorders>
              <w:left w:val="single" w:color="auto" w:sz="2" w:space="0"/>
              <w:right w:val="single" w:color="auto" w:sz="4" w:space="0"/>
            </w:tcBorders>
            <w:noWrap/>
            <w:vAlign w:val="center"/>
          </w:tcPr>
          <w:p w14:paraId="64007EEC">
            <w:pPr>
              <w:jc w:val="center"/>
              <w:rPr>
                <w:rFonts w:ascii="宋体" w:hAnsi="宋体" w:cs="宋体"/>
                <w:color w:val="000000"/>
                <w:szCs w:val="21"/>
              </w:rPr>
            </w:pPr>
          </w:p>
        </w:tc>
        <w:tc>
          <w:tcPr>
            <w:tcW w:w="2743" w:type="dxa"/>
            <w:tcBorders>
              <w:left w:val="single" w:color="auto" w:sz="2" w:space="0"/>
              <w:right w:val="single" w:color="auto" w:sz="4" w:space="0"/>
            </w:tcBorders>
            <w:noWrap/>
            <w:vAlign w:val="center"/>
          </w:tcPr>
          <w:p w14:paraId="021220CB">
            <w:pPr>
              <w:jc w:val="center"/>
              <w:rPr>
                <w:rFonts w:ascii="宋体" w:hAnsi="宋体" w:cs="宋体"/>
                <w:color w:val="000000"/>
                <w:szCs w:val="21"/>
              </w:rPr>
            </w:pPr>
          </w:p>
        </w:tc>
      </w:tr>
      <w:tr w14:paraId="21C91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3" w:type="dxa"/>
            <w:tcBorders>
              <w:top w:val="single" w:color="auto" w:sz="4" w:space="0"/>
              <w:left w:val="single" w:color="auto" w:sz="4" w:space="0"/>
              <w:bottom w:val="single" w:color="auto" w:sz="4" w:space="0"/>
              <w:right w:val="single" w:color="auto" w:sz="4" w:space="0"/>
            </w:tcBorders>
            <w:noWrap/>
            <w:vAlign w:val="center"/>
          </w:tcPr>
          <w:p w14:paraId="431D94E8">
            <w:pPr>
              <w:jc w:val="center"/>
              <w:rPr>
                <w:rFonts w:ascii="宋体" w:hAnsi="宋体" w:cs="宋体"/>
                <w:color w:val="000000"/>
                <w:szCs w:val="21"/>
              </w:rPr>
            </w:pPr>
          </w:p>
        </w:tc>
        <w:tc>
          <w:tcPr>
            <w:tcW w:w="1715" w:type="dxa"/>
            <w:tcBorders>
              <w:left w:val="single" w:color="auto" w:sz="4" w:space="0"/>
            </w:tcBorders>
            <w:noWrap/>
            <w:vAlign w:val="center"/>
          </w:tcPr>
          <w:p w14:paraId="60E65DC3">
            <w:pPr>
              <w:jc w:val="center"/>
              <w:rPr>
                <w:rFonts w:ascii="宋体" w:hAnsi="宋体" w:cs="宋体"/>
                <w:color w:val="000000"/>
                <w:szCs w:val="21"/>
              </w:rPr>
            </w:pPr>
          </w:p>
        </w:tc>
        <w:tc>
          <w:tcPr>
            <w:tcW w:w="1715" w:type="dxa"/>
            <w:tcBorders>
              <w:left w:val="single" w:color="auto" w:sz="4" w:space="0"/>
            </w:tcBorders>
            <w:noWrap/>
            <w:vAlign w:val="center"/>
          </w:tcPr>
          <w:p w14:paraId="00A7FC6D">
            <w:pPr>
              <w:jc w:val="center"/>
              <w:rPr>
                <w:rFonts w:ascii="宋体" w:hAnsi="宋体" w:cs="宋体"/>
                <w:color w:val="000000"/>
                <w:szCs w:val="21"/>
              </w:rPr>
            </w:pPr>
          </w:p>
        </w:tc>
        <w:tc>
          <w:tcPr>
            <w:tcW w:w="870" w:type="dxa"/>
            <w:noWrap/>
            <w:vAlign w:val="center"/>
          </w:tcPr>
          <w:p w14:paraId="478B9B5E">
            <w:pPr>
              <w:jc w:val="center"/>
              <w:rPr>
                <w:rFonts w:ascii="宋体" w:hAnsi="宋体" w:cs="宋体"/>
                <w:b/>
                <w:bCs/>
                <w:color w:val="000000"/>
                <w:szCs w:val="21"/>
              </w:rPr>
            </w:pPr>
          </w:p>
        </w:tc>
        <w:tc>
          <w:tcPr>
            <w:tcW w:w="1380" w:type="dxa"/>
            <w:tcBorders>
              <w:right w:val="single" w:color="auto" w:sz="4" w:space="0"/>
            </w:tcBorders>
            <w:noWrap/>
            <w:vAlign w:val="center"/>
          </w:tcPr>
          <w:p w14:paraId="51D440B6">
            <w:pPr>
              <w:jc w:val="center"/>
              <w:rPr>
                <w:rFonts w:ascii="宋体" w:hAnsi="宋体" w:cs="宋体"/>
                <w:color w:val="000000"/>
                <w:szCs w:val="21"/>
              </w:rPr>
            </w:pPr>
          </w:p>
        </w:tc>
        <w:tc>
          <w:tcPr>
            <w:tcW w:w="2743" w:type="dxa"/>
            <w:tcBorders>
              <w:right w:val="single" w:color="auto" w:sz="4" w:space="0"/>
            </w:tcBorders>
            <w:noWrap/>
            <w:vAlign w:val="center"/>
          </w:tcPr>
          <w:p w14:paraId="56C36A12">
            <w:pPr>
              <w:jc w:val="center"/>
              <w:rPr>
                <w:rFonts w:ascii="宋体" w:hAnsi="宋体" w:cs="宋体"/>
                <w:color w:val="000000"/>
                <w:szCs w:val="21"/>
              </w:rPr>
            </w:pPr>
          </w:p>
        </w:tc>
      </w:tr>
      <w:tr w14:paraId="405B7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3" w:type="dxa"/>
            <w:tcBorders>
              <w:top w:val="single" w:color="auto" w:sz="4" w:space="0"/>
              <w:left w:val="single" w:color="auto" w:sz="4" w:space="0"/>
              <w:bottom w:val="single" w:color="auto" w:sz="4" w:space="0"/>
              <w:right w:val="single" w:color="auto" w:sz="4" w:space="0"/>
            </w:tcBorders>
            <w:noWrap/>
            <w:vAlign w:val="center"/>
          </w:tcPr>
          <w:p w14:paraId="3AFF9C7A">
            <w:pPr>
              <w:jc w:val="center"/>
              <w:rPr>
                <w:rFonts w:ascii="宋体" w:hAnsi="宋体" w:cs="宋体"/>
                <w:color w:val="000000"/>
                <w:szCs w:val="21"/>
              </w:rPr>
            </w:pPr>
          </w:p>
        </w:tc>
        <w:tc>
          <w:tcPr>
            <w:tcW w:w="1715" w:type="dxa"/>
            <w:tcBorders>
              <w:left w:val="single" w:color="auto" w:sz="4" w:space="0"/>
            </w:tcBorders>
            <w:noWrap/>
            <w:vAlign w:val="center"/>
          </w:tcPr>
          <w:p w14:paraId="7B22CEC1">
            <w:pPr>
              <w:jc w:val="center"/>
              <w:rPr>
                <w:rFonts w:ascii="宋体" w:hAnsi="宋体" w:cs="宋体"/>
                <w:color w:val="000000"/>
                <w:szCs w:val="21"/>
              </w:rPr>
            </w:pPr>
          </w:p>
        </w:tc>
        <w:tc>
          <w:tcPr>
            <w:tcW w:w="1715" w:type="dxa"/>
            <w:tcBorders>
              <w:left w:val="single" w:color="auto" w:sz="4" w:space="0"/>
            </w:tcBorders>
            <w:noWrap/>
            <w:vAlign w:val="center"/>
          </w:tcPr>
          <w:p w14:paraId="0162CB89">
            <w:pPr>
              <w:jc w:val="center"/>
              <w:rPr>
                <w:rFonts w:ascii="宋体" w:hAnsi="宋体" w:cs="宋体"/>
                <w:color w:val="000000"/>
                <w:szCs w:val="21"/>
              </w:rPr>
            </w:pPr>
          </w:p>
        </w:tc>
        <w:tc>
          <w:tcPr>
            <w:tcW w:w="870" w:type="dxa"/>
            <w:noWrap/>
            <w:vAlign w:val="center"/>
          </w:tcPr>
          <w:p w14:paraId="4626FF57">
            <w:pPr>
              <w:jc w:val="center"/>
              <w:rPr>
                <w:rFonts w:ascii="宋体" w:hAnsi="宋体" w:cs="宋体"/>
                <w:b/>
                <w:bCs/>
                <w:color w:val="000000"/>
                <w:szCs w:val="21"/>
              </w:rPr>
            </w:pPr>
          </w:p>
        </w:tc>
        <w:tc>
          <w:tcPr>
            <w:tcW w:w="1380" w:type="dxa"/>
            <w:tcBorders>
              <w:right w:val="single" w:color="auto" w:sz="4" w:space="0"/>
            </w:tcBorders>
            <w:noWrap/>
            <w:vAlign w:val="center"/>
          </w:tcPr>
          <w:p w14:paraId="611E8BC4">
            <w:pPr>
              <w:jc w:val="center"/>
              <w:rPr>
                <w:rFonts w:ascii="宋体" w:hAnsi="宋体" w:cs="宋体"/>
                <w:color w:val="000000"/>
                <w:szCs w:val="21"/>
              </w:rPr>
            </w:pPr>
          </w:p>
        </w:tc>
        <w:tc>
          <w:tcPr>
            <w:tcW w:w="2743" w:type="dxa"/>
            <w:tcBorders>
              <w:right w:val="single" w:color="auto" w:sz="4" w:space="0"/>
            </w:tcBorders>
            <w:noWrap/>
            <w:vAlign w:val="center"/>
          </w:tcPr>
          <w:p w14:paraId="6BE4B75E">
            <w:pPr>
              <w:jc w:val="center"/>
              <w:rPr>
                <w:rFonts w:ascii="宋体" w:hAnsi="宋体" w:cs="宋体"/>
                <w:color w:val="000000"/>
                <w:szCs w:val="21"/>
              </w:rPr>
            </w:pPr>
          </w:p>
        </w:tc>
      </w:tr>
    </w:tbl>
    <w:p w14:paraId="0F047393">
      <w:pPr>
        <w:pStyle w:val="10"/>
      </w:pPr>
    </w:p>
    <w:p w14:paraId="424EA5F7">
      <w:pPr>
        <w:pStyle w:val="10"/>
      </w:pPr>
    </w:p>
    <w:p w14:paraId="7CDB36B7">
      <w:pPr>
        <w:pStyle w:val="12"/>
        <w:ind w:left="0" w:leftChars="0" w:firstLine="0" w:firstLineChars="0"/>
        <w:rPr>
          <w:rFonts w:hint="eastAsia" w:ascii="仿宋" w:hAnsi="仿宋" w:eastAsia="仿宋" w:cs="仿宋"/>
        </w:rPr>
      </w:pPr>
    </w:p>
    <w:p w14:paraId="1E7C38A2">
      <w:pPr>
        <w:pStyle w:val="12"/>
        <w:ind w:left="0" w:leftChars="0" w:firstLine="0" w:firstLineChars="0"/>
        <w:rPr>
          <w:rFonts w:hint="eastAsia" w:ascii="仿宋" w:hAnsi="仿宋" w:eastAsia="仿宋" w:cs="仿宋"/>
        </w:rPr>
      </w:pPr>
    </w:p>
    <w:p w14:paraId="04013E01">
      <w:pPr>
        <w:pStyle w:val="12"/>
        <w:ind w:left="0" w:leftChars="0" w:firstLine="0" w:firstLineChars="0"/>
        <w:rPr>
          <w:rFonts w:hint="eastAsia" w:ascii="仿宋" w:hAnsi="仿宋" w:eastAsia="仿宋" w:cs="仿宋"/>
        </w:rPr>
      </w:pPr>
    </w:p>
    <w:p w14:paraId="3C6441AB">
      <w:pPr>
        <w:pStyle w:val="12"/>
        <w:ind w:left="0" w:leftChars="0" w:firstLine="0" w:firstLineChars="0"/>
        <w:rPr>
          <w:rFonts w:hint="eastAsia" w:ascii="仿宋" w:hAnsi="仿宋" w:eastAsia="仿宋" w:cs="仿宋"/>
        </w:rPr>
      </w:pPr>
    </w:p>
    <w:p w14:paraId="5B6B51E7">
      <w:pPr>
        <w:pStyle w:val="12"/>
        <w:ind w:left="0" w:leftChars="0" w:firstLine="0" w:firstLineChars="0"/>
        <w:rPr>
          <w:rFonts w:hint="eastAsia" w:ascii="仿宋" w:hAnsi="仿宋" w:eastAsia="仿宋" w:cs="仿宋"/>
        </w:rPr>
      </w:pPr>
    </w:p>
    <w:p w14:paraId="03D6ADA4">
      <w:pPr>
        <w:pStyle w:val="12"/>
        <w:ind w:left="0" w:leftChars="0" w:firstLine="0" w:firstLineChars="0"/>
        <w:rPr>
          <w:rFonts w:hint="eastAsia" w:ascii="仿宋" w:hAnsi="仿宋" w:eastAsia="仿宋" w:cs="仿宋"/>
        </w:rPr>
      </w:pPr>
    </w:p>
    <w:p w14:paraId="628D467F">
      <w:pPr>
        <w:pStyle w:val="12"/>
        <w:ind w:left="0" w:leftChars="0" w:firstLine="0" w:firstLineChars="0"/>
        <w:rPr>
          <w:rFonts w:hint="eastAsia" w:ascii="仿宋" w:hAnsi="仿宋" w:eastAsia="仿宋" w:cs="仿宋"/>
        </w:rPr>
      </w:pPr>
      <w:bookmarkStart w:id="8" w:name="_GoBack"/>
      <w:bookmarkEnd w:id="8"/>
    </w:p>
    <w:p w14:paraId="38BB87CA">
      <w:pPr>
        <w:pStyle w:val="12"/>
        <w:ind w:left="0" w:leftChars="0" w:firstLine="0" w:firstLineChars="0"/>
        <w:rPr>
          <w:rFonts w:hint="eastAsia" w:ascii="仿宋" w:hAnsi="仿宋" w:eastAsia="仿宋" w:cs="仿宋"/>
        </w:rPr>
      </w:pPr>
    </w:p>
    <w:p w14:paraId="19573B40">
      <w:pPr>
        <w:pStyle w:val="12"/>
        <w:ind w:left="0" w:leftChars="0" w:firstLine="0" w:firstLineChars="0"/>
        <w:rPr>
          <w:rFonts w:hint="eastAsia" w:ascii="仿宋" w:hAnsi="仿宋" w:eastAsia="仿宋" w:cs="仿宋"/>
        </w:rPr>
      </w:pPr>
    </w:p>
    <w:p w14:paraId="6E841091">
      <w:pPr>
        <w:pStyle w:val="12"/>
        <w:ind w:left="0" w:leftChars="0" w:firstLine="0" w:firstLineChars="0"/>
        <w:rPr>
          <w:rFonts w:hint="eastAsia" w:ascii="仿宋" w:hAnsi="仿宋" w:eastAsia="仿宋" w:cs="仿宋"/>
        </w:rPr>
      </w:pPr>
    </w:p>
    <w:p w14:paraId="6E26E97C">
      <w:pPr>
        <w:pStyle w:val="12"/>
        <w:ind w:left="0" w:leftChars="0" w:firstLine="0" w:firstLineChars="0"/>
        <w:rPr>
          <w:rFonts w:hint="eastAsia" w:ascii="仿宋" w:hAnsi="仿宋" w:eastAsia="仿宋" w:cs="仿宋"/>
        </w:rPr>
      </w:pPr>
    </w:p>
    <w:p w14:paraId="5D25A2CD">
      <w:pPr>
        <w:pStyle w:val="12"/>
        <w:ind w:left="0" w:leftChars="0" w:firstLine="0" w:firstLineChars="0"/>
        <w:rPr>
          <w:rFonts w:hint="eastAsia" w:ascii="仿宋" w:hAnsi="仿宋" w:eastAsia="仿宋" w:cs="仿宋"/>
        </w:rPr>
      </w:pPr>
    </w:p>
    <w:p w14:paraId="40F44AC7">
      <w:pPr>
        <w:pStyle w:val="12"/>
        <w:ind w:left="0" w:leftChars="0" w:firstLine="0" w:firstLineChars="0"/>
        <w:rPr>
          <w:rFonts w:hint="eastAsia" w:ascii="仿宋" w:hAnsi="仿宋" w:eastAsia="仿宋" w:cs="仿宋"/>
        </w:rPr>
      </w:pPr>
    </w:p>
    <w:p w14:paraId="27FC7345">
      <w:pPr>
        <w:pStyle w:val="12"/>
        <w:ind w:left="0" w:leftChars="0" w:firstLine="0" w:firstLineChars="0"/>
        <w:rPr>
          <w:rFonts w:hint="eastAsia" w:ascii="仿宋" w:hAnsi="仿宋" w:eastAsia="仿宋" w:cs="仿宋"/>
        </w:rPr>
      </w:pPr>
    </w:p>
    <w:p w14:paraId="505AA41B">
      <w:pPr>
        <w:pStyle w:val="12"/>
        <w:ind w:left="0" w:leftChars="0" w:firstLine="0" w:firstLineChars="0"/>
        <w:rPr>
          <w:rFonts w:hint="eastAsia" w:ascii="仿宋" w:hAnsi="仿宋" w:eastAsia="仿宋" w:cs="仿宋"/>
        </w:rPr>
      </w:pPr>
    </w:p>
    <w:p w14:paraId="6D040CED">
      <w:pPr>
        <w:pStyle w:val="12"/>
        <w:ind w:left="0" w:leftChars="0" w:firstLine="0" w:firstLineChars="0"/>
        <w:rPr>
          <w:rFonts w:hint="eastAsia" w:ascii="仿宋" w:hAnsi="仿宋" w:eastAsia="仿宋" w:cs="仿宋"/>
        </w:rPr>
      </w:pPr>
    </w:p>
    <w:p w14:paraId="494A2116">
      <w:pPr>
        <w:pStyle w:val="12"/>
        <w:ind w:left="0" w:leftChars="0" w:firstLine="0" w:firstLineChars="0"/>
        <w:rPr>
          <w:rFonts w:hint="eastAsia" w:ascii="仿宋" w:hAnsi="仿宋" w:eastAsia="仿宋" w:cs="仿宋"/>
        </w:rPr>
      </w:pPr>
    </w:p>
    <w:p w14:paraId="42922A2A">
      <w:pPr>
        <w:pStyle w:val="12"/>
        <w:ind w:left="0" w:leftChars="0" w:firstLine="0" w:firstLineChars="0"/>
        <w:rPr>
          <w:rFonts w:hint="eastAsia" w:ascii="仿宋" w:hAnsi="仿宋" w:eastAsia="仿宋" w:cs="仿宋"/>
        </w:rPr>
      </w:pPr>
    </w:p>
    <w:p w14:paraId="7898CBA6">
      <w:pPr>
        <w:pStyle w:val="12"/>
        <w:ind w:left="0" w:leftChars="0" w:firstLine="0" w:firstLineChars="0"/>
        <w:rPr>
          <w:rFonts w:hint="eastAsia" w:ascii="仿宋" w:hAnsi="仿宋" w:eastAsia="仿宋" w:cs="仿宋"/>
        </w:rPr>
      </w:pPr>
    </w:p>
    <w:p w14:paraId="4E4155AA">
      <w:pPr>
        <w:pStyle w:val="12"/>
        <w:ind w:left="0" w:leftChars="0" w:firstLine="0" w:firstLineChars="0"/>
        <w:rPr>
          <w:rFonts w:hint="eastAsia" w:ascii="仿宋" w:hAnsi="仿宋" w:eastAsia="仿宋" w:cs="仿宋"/>
        </w:rPr>
      </w:pPr>
    </w:p>
    <w:p w14:paraId="65D71639">
      <w:pPr>
        <w:pStyle w:val="12"/>
        <w:ind w:left="0" w:leftChars="0" w:firstLine="0" w:firstLineChars="0"/>
        <w:rPr>
          <w:rFonts w:hint="eastAsia" w:ascii="仿宋" w:hAnsi="仿宋" w:eastAsia="仿宋" w:cs="仿宋"/>
        </w:rPr>
      </w:pPr>
    </w:p>
    <w:p w14:paraId="642D0EC1">
      <w:pPr>
        <w:rPr>
          <w:rFonts w:ascii="Arial" w:hAnsi="Arial" w:eastAsia="等线" w:cs="Arial"/>
          <w:b/>
          <w:sz w:val="36"/>
        </w:rPr>
      </w:pPr>
      <w:bookmarkStart w:id="6" w:name="heading_0"/>
      <w:r>
        <w:rPr>
          <w:rFonts w:hint="eastAsia"/>
          <w:color w:val="000000"/>
          <w:sz w:val="30"/>
          <w:szCs w:val="30"/>
        </w:rPr>
        <w:t>附件</w:t>
      </w:r>
      <w:r>
        <w:rPr>
          <w:rFonts w:hint="eastAsia" w:eastAsia="宋体"/>
          <w:color w:val="000000"/>
          <w:sz w:val="30"/>
          <w:szCs w:val="30"/>
          <w:lang w:val="en-US" w:eastAsia="zh-CN"/>
        </w:rPr>
        <w:t>2</w:t>
      </w:r>
      <w:r>
        <w:rPr>
          <w:rFonts w:hint="eastAsia"/>
          <w:color w:val="000000"/>
          <w:sz w:val="30"/>
          <w:szCs w:val="30"/>
        </w:rPr>
        <w:t>：</w:t>
      </w:r>
    </w:p>
    <w:p w14:paraId="07ED0019">
      <w:pPr>
        <w:spacing w:before="380" w:after="140" w:line="288" w:lineRule="auto"/>
        <w:jc w:val="center"/>
        <w:outlineLvl w:val="0"/>
      </w:pPr>
      <w:r>
        <w:rPr>
          <w:rFonts w:ascii="Arial" w:hAnsi="Arial" w:eastAsia="等线" w:cs="Arial"/>
          <w:b/>
          <w:sz w:val="36"/>
        </w:rPr>
        <w:t>项目履约验收方案</w:t>
      </w:r>
      <w:bookmarkEnd w:id="6"/>
    </w:p>
    <w:tbl>
      <w:tblPr>
        <w:tblStyle w:val="13"/>
        <w:tblW w:w="88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697"/>
        <w:gridCol w:w="1759"/>
        <w:gridCol w:w="5345"/>
        <w:gridCol w:w="1037"/>
      </w:tblGrid>
      <w:tr w14:paraId="75093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14" w:hRule="atLeast"/>
        </w:trPr>
        <w:tc>
          <w:tcPr>
            <w:tcW w:w="697" w:type="dxa"/>
            <w:tcMar>
              <w:top w:w="60" w:type="dxa"/>
              <w:left w:w="120" w:type="dxa"/>
              <w:bottom w:w="30" w:type="dxa"/>
              <w:right w:w="120" w:type="dxa"/>
            </w:tcMar>
            <w:vAlign w:val="center"/>
          </w:tcPr>
          <w:p w14:paraId="22E9BDDB">
            <w:pPr>
              <w:keepNext w:val="0"/>
              <w:keepLines w:val="0"/>
              <w:widowControl/>
              <w:suppressLineNumbers w:val="0"/>
              <w:spacing w:before="120" w:beforeAutospacing="0" w:after="120" w:afterAutospacing="0" w:line="288" w:lineRule="auto"/>
              <w:ind w:left="0" w:right="0"/>
              <w:jc w:val="center"/>
              <w:rPr>
                <w:rFonts w:hint="default" w:ascii="宋体" w:hAnsi="宋体" w:eastAsia="宋体" w:cs="宋体"/>
              </w:rPr>
            </w:pPr>
            <w:r>
              <w:rPr>
                <w:rFonts w:hint="eastAsia" w:ascii="宋体" w:hAnsi="宋体" w:eastAsia="宋体" w:cs="宋体"/>
                <w:sz w:val="22"/>
              </w:rPr>
              <w:t>序号</w:t>
            </w:r>
          </w:p>
        </w:tc>
        <w:tc>
          <w:tcPr>
            <w:tcW w:w="1759" w:type="dxa"/>
            <w:tcMar>
              <w:top w:w="60" w:type="dxa"/>
              <w:left w:w="120" w:type="dxa"/>
              <w:bottom w:w="30" w:type="dxa"/>
              <w:right w:w="120" w:type="dxa"/>
            </w:tcMar>
            <w:vAlign w:val="center"/>
          </w:tcPr>
          <w:p w14:paraId="170EE8D6">
            <w:pPr>
              <w:keepNext w:val="0"/>
              <w:keepLines w:val="0"/>
              <w:widowControl/>
              <w:suppressLineNumbers w:val="0"/>
              <w:spacing w:before="120" w:beforeAutospacing="0" w:after="120" w:afterAutospacing="0" w:line="288" w:lineRule="auto"/>
              <w:ind w:left="0" w:right="0"/>
              <w:jc w:val="center"/>
              <w:rPr>
                <w:rFonts w:hint="default" w:ascii="宋体" w:hAnsi="宋体" w:eastAsia="宋体" w:cs="宋体"/>
              </w:rPr>
            </w:pPr>
            <w:r>
              <w:rPr>
                <w:rFonts w:hint="eastAsia" w:ascii="宋体" w:hAnsi="宋体" w:eastAsia="宋体" w:cs="宋体"/>
                <w:sz w:val="22"/>
              </w:rPr>
              <w:t>核心内容</w:t>
            </w:r>
          </w:p>
        </w:tc>
        <w:tc>
          <w:tcPr>
            <w:tcW w:w="5345" w:type="dxa"/>
            <w:tcMar>
              <w:top w:w="60" w:type="dxa"/>
              <w:left w:w="120" w:type="dxa"/>
              <w:bottom w:w="30" w:type="dxa"/>
              <w:right w:w="120" w:type="dxa"/>
            </w:tcMar>
            <w:vAlign w:val="center"/>
          </w:tcPr>
          <w:p w14:paraId="5E507DC5">
            <w:pPr>
              <w:keepNext w:val="0"/>
              <w:keepLines w:val="0"/>
              <w:widowControl/>
              <w:suppressLineNumbers w:val="0"/>
              <w:spacing w:before="120" w:beforeAutospacing="0" w:after="120" w:afterAutospacing="0" w:line="288" w:lineRule="auto"/>
              <w:ind w:left="0" w:right="0"/>
              <w:jc w:val="center"/>
              <w:rPr>
                <w:rFonts w:hint="default" w:ascii="宋体" w:hAnsi="宋体" w:eastAsia="宋体" w:cs="宋体"/>
              </w:rPr>
            </w:pPr>
            <w:r>
              <w:rPr>
                <w:rFonts w:hint="eastAsia" w:ascii="宋体" w:hAnsi="宋体" w:eastAsia="宋体" w:cs="宋体"/>
                <w:sz w:val="22"/>
              </w:rPr>
              <w:t>验收要求</w:t>
            </w:r>
          </w:p>
        </w:tc>
        <w:tc>
          <w:tcPr>
            <w:tcW w:w="1037" w:type="dxa"/>
            <w:tcMar>
              <w:top w:w="60" w:type="dxa"/>
              <w:left w:w="120" w:type="dxa"/>
              <w:bottom w:w="30" w:type="dxa"/>
              <w:right w:w="120" w:type="dxa"/>
            </w:tcMar>
            <w:vAlign w:val="center"/>
          </w:tcPr>
          <w:p w14:paraId="632A7869">
            <w:pPr>
              <w:keepNext w:val="0"/>
              <w:keepLines w:val="0"/>
              <w:widowControl/>
              <w:suppressLineNumbers w:val="0"/>
              <w:spacing w:before="120" w:beforeAutospacing="0" w:after="120" w:afterAutospacing="0" w:line="288" w:lineRule="auto"/>
              <w:ind w:left="0" w:right="0"/>
              <w:jc w:val="center"/>
              <w:rPr>
                <w:rFonts w:hint="default" w:ascii="宋体" w:hAnsi="宋体" w:eastAsia="宋体" w:cs="宋体"/>
                <w:sz w:val="22"/>
              </w:rPr>
            </w:pPr>
            <w:r>
              <w:rPr>
                <w:rFonts w:hint="eastAsia" w:ascii="宋体" w:hAnsi="宋体" w:eastAsia="宋体" w:cs="宋体"/>
                <w:sz w:val="22"/>
              </w:rPr>
              <w:t>备注</w:t>
            </w:r>
          </w:p>
        </w:tc>
      </w:tr>
      <w:tr w14:paraId="4EB21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78" w:hRule="atLeast"/>
        </w:trPr>
        <w:tc>
          <w:tcPr>
            <w:tcW w:w="697" w:type="dxa"/>
            <w:tcMar>
              <w:top w:w="60" w:type="dxa"/>
              <w:left w:w="120" w:type="dxa"/>
              <w:bottom w:w="30" w:type="dxa"/>
              <w:right w:w="120" w:type="dxa"/>
            </w:tcMar>
            <w:vAlign w:val="center"/>
          </w:tcPr>
          <w:p w14:paraId="4E33EA55">
            <w:pPr>
              <w:keepNext w:val="0"/>
              <w:keepLines w:val="0"/>
              <w:widowControl/>
              <w:suppressLineNumbers w:val="0"/>
              <w:spacing w:before="120" w:beforeAutospacing="0" w:after="120" w:afterAutospacing="0" w:line="288" w:lineRule="auto"/>
              <w:ind w:left="0" w:right="0"/>
              <w:jc w:val="center"/>
              <w:rPr>
                <w:rFonts w:hint="default" w:ascii="宋体" w:hAnsi="宋体" w:eastAsia="宋体" w:cs="宋体"/>
              </w:rPr>
            </w:pPr>
            <w:r>
              <w:rPr>
                <w:rFonts w:hint="eastAsia" w:ascii="宋体" w:hAnsi="宋体" w:eastAsia="宋体" w:cs="宋体"/>
                <w:sz w:val="22"/>
              </w:rPr>
              <w:t>1</w:t>
            </w:r>
          </w:p>
        </w:tc>
        <w:tc>
          <w:tcPr>
            <w:tcW w:w="1759" w:type="dxa"/>
            <w:shd w:val="clear" w:color="auto" w:fill="auto"/>
            <w:tcMar>
              <w:top w:w="60" w:type="dxa"/>
              <w:left w:w="120" w:type="dxa"/>
              <w:bottom w:w="30" w:type="dxa"/>
              <w:right w:w="120" w:type="dxa"/>
            </w:tcMar>
            <w:vAlign w:val="center"/>
          </w:tcPr>
          <w:p w14:paraId="0D07D0CA">
            <w:pPr>
              <w:keepNext w:val="0"/>
              <w:keepLines w:val="0"/>
              <w:widowControl/>
              <w:suppressLineNumbers w:val="0"/>
              <w:spacing w:before="120" w:beforeAutospacing="0" w:after="120" w:afterAutospacing="0" w:line="288" w:lineRule="auto"/>
              <w:ind w:left="0" w:right="0"/>
              <w:jc w:val="center"/>
              <w:rPr>
                <w:rFonts w:hint="default" w:ascii="宋体" w:hAnsi="宋体" w:eastAsia="宋体" w:cs="宋体"/>
              </w:rPr>
            </w:pPr>
            <w:r>
              <w:rPr>
                <w:rFonts w:hint="eastAsia" w:ascii="宋体" w:hAnsi="宋体" w:eastAsia="宋体" w:cs="宋体"/>
                <w:sz w:val="22"/>
              </w:rPr>
              <w:t>责任主体</w:t>
            </w:r>
          </w:p>
        </w:tc>
        <w:tc>
          <w:tcPr>
            <w:tcW w:w="5345" w:type="dxa"/>
            <w:shd w:val="clear" w:color="auto" w:fill="auto"/>
            <w:tcMar>
              <w:top w:w="60" w:type="dxa"/>
              <w:left w:w="120" w:type="dxa"/>
              <w:bottom w:w="30" w:type="dxa"/>
              <w:right w:w="120" w:type="dxa"/>
            </w:tcMar>
            <w:vAlign w:val="center"/>
          </w:tcPr>
          <w:p w14:paraId="6FDCB49F">
            <w:pPr>
              <w:keepNext w:val="0"/>
              <w:keepLines w:val="0"/>
              <w:widowControl/>
              <w:suppressLineNumbers w:val="0"/>
              <w:spacing w:before="120" w:beforeAutospacing="0" w:after="120" w:afterAutospacing="0" w:line="288" w:lineRule="auto"/>
              <w:ind w:left="0" w:right="0"/>
              <w:jc w:val="center"/>
              <w:rPr>
                <w:rFonts w:hint="default" w:ascii="宋体" w:hAnsi="宋体" w:eastAsia="宋体" w:cs="宋体"/>
              </w:rPr>
            </w:pPr>
            <w:r>
              <w:rPr>
                <w:rFonts w:hint="eastAsia" w:ascii="宋体" w:hAnsi="宋体" w:eastAsia="宋体" w:cs="宋体"/>
                <w:sz w:val="22"/>
              </w:rPr>
              <w:t>明确采购人（或委托验收机构）、验收成员</w:t>
            </w:r>
          </w:p>
        </w:tc>
        <w:tc>
          <w:tcPr>
            <w:tcW w:w="1037" w:type="dxa"/>
            <w:tcMar>
              <w:top w:w="60" w:type="dxa"/>
              <w:left w:w="120" w:type="dxa"/>
              <w:bottom w:w="30" w:type="dxa"/>
              <w:right w:w="120" w:type="dxa"/>
            </w:tcMar>
            <w:vAlign w:val="center"/>
          </w:tcPr>
          <w:p w14:paraId="101BE4E9">
            <w:pPr>
              <w:keepNext w:val="0"/>
              <w:keepLines w:val="0"/>
              <w:widowControl/>
              <w:suppressLineNumbers w:val="0"/>
              <w:spacing w:before="120" w:beforeAutospacing="0" w:after="120" w:afterAutospacing="0" w:line="288" w:lineRule="auto"/>
              <w:ind w:left="0" w:right="0"/>
              <w:jc w:val="center"/>
              <w:rPr>
                <w:rFonts w:hint="default" w:ascii="宋体" w:hAnsi="宋体" w:eastAsia="宋体" w:cs="宋体"/>
                <w:sz w:val="22"/>
              </w:rPr>
            </w:pPr>
          </w:p>
        </w:tc>
      </w:tr>
      <w:tr w14:paraId="1E896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45" w:hRule="atLeast"/>
        </w:trPr>
        <w:tc>
          <w:tcPr>
            <w:tcW w:w="697" w:type="dxa"/>
            <w:tcMar>
              <w:top w:w="60" w:type="dxa"/>
              <w:left w:w="120" w:type="dxa"/>
              <w:bottom w:w="30" w:type="dxa"/>
              <w:right w:w="120" w:type="dxa"/>
            </w:tcMar>
            <w:vAlign w:val="center"/>
          </w:tcPr>
          <w:p w14:paraId="0E969B98">
            <w:pPr>
              <w:keepNext w:val="0"/>
              <w:keepLines w:val="0"/>
              <w:widowControl/>
              <w:suppressLineNumbers w:val="0"/>
              <w:spacing w:before="120" w:beforeAutospacing="0" w:after="120" w:afterAutospacing="0" w:line="288" w:lineRule="auto"/>
              <w:ind w:left="0" w:right="0"/>
              <w:jc w:val="center"/>
              <w:rPr>
                <w:rFonts w:hint="default" w:ascii="宋体" w:hAnsi="宋体" w:eastAsia="宋体" w:cs="宋体"/>
              </w:rPr>
            </w:pPr>
            <w:r>
              <w:rPr>
                <w:rFonts w:hint="eastAsia" w:ascii="宋体" w:hAnsi="宋体" w:eastAsia="宋体" w:cs="宋体"/>
                <w:sz w:val="22"/>
              </w:rPr>
              <w:t>2</w:t>
            </w:r>
          </w:p>
        </w:tc>
        <w:tc>
          <w:tcPr>
            <w:tcW w:w="1759" w:type="dxa"/>
            <w:shd w:val="clear" w:color="auto" w:fill="auto"/>
            <w:tcMar>
              <w:top w:w="60" w:type="dxa"/>
              <w:left w:w="120" w:type="dxa"/>
              <w:bottom w:w="30" w:type="dxa"/>
              <w:right w:w="120" w:type="dxa"/>
            </w:tcMar>
            <w:vAlign w:val="center"/>
          </w:tcPr>
          <w:p w14:paraId="5F4A79A3">
            <w:pPr>
              <w:keepNext w:val="0"/>
              <w:keepLines w:val="0"/>
              <w:widowControl/>
              <w:suppressLineNumbers w:val="0"/>
              <w:spacing w:before="120" w:beforeAutospacing="0" w:after="120" w:afterAutospacing="0" w:line="288" w:lineRule="auto"/>
              <w:ind w:left="0" w:right="0"/>
              <w:jc w:val="center"/>
              <w:rPr>
                <w:rFonts w:hint="default" w:ascii="宋体" w:hAnsi="宋体" w:eastAsia="宋体" w:cs="宋体"/>
              </w:rPr>
            </w:pPr>
            <w:r>
              <w:rPr>
                <w:rFonts w:hint="eastAsia" w:ascii="宋体" w:hAnsi="宋体" w:eastAsia="宋体" w:cs="宋体"/>
                <w:sz w:val="22"/>
              </w:rPr>
              <w:t>验收核心内容</w:t>
            </w:r>
          </w:p>
        </w:tc>
        <w:tc>
          <w:tcPr>
            <w:tcW w:w="5345" w:type="dxa"/>
            <w:shd w:val="clear" w:color="auto" w:fill="auto"/>
            <w:tcMar>
              <w:top w:w="60" w:type="dxa"/>
              <w:left w:w="120" w:type="dxa"/>
              <w:bottom w:w="30" w:type="dxa"/>
              <w:right w:w="120" w:type="dxa"/>
            </w:tcMar>
            <w:vAlign w:val="center"/>
          </w:tcPr>
          <w:p w14:paraId="650C1E0A">
            <w:pPr>
              <w:keepNext w:val="0"/>
              <w:keepLines w:val="0"/>
              <w:widowControl/>
              <w:suppressLineNumbers w:val="0"/>
              <w:spacing w:before="120" w:beforeAutospacing="0" w:after="120" w:afterAutospacing="0" w:line="288" w:lineRule="auto"/>
              <w:ind w:left="0" w:right="0"/>
              <w:jc w:val="center"/>
              <w:rPr>
                <w:rFonts w:hint="default" w:ascii="宋体" w:hAnsi="宋体" w:eastAsia="宋体" w:cs="宋体"/>
              </w:rPr>
            </w:pPr>
            <w:r>
              <w:rPr>
                <w:rFonts w:hint="eastAsia" w:ascii="宋体" w:hAnsi="宋体" w:eastAsia="宋体" w:cs="宋体"/>
                <w:sz w:val="22"/>
              </w:rPr>
              <w:t>对照合同约定技术、逐项列明服务/履约期限/交付方式/售后服务/承诺等方面约定内容</w:t>
            </w:r>
          </w:p>
        </w:tc>
        <w:tc>
          <w:tcPr>
            <w:tcW w:w="1037" w:type="dxa"/>
            <w:tcMar>
              <w:top w:w="60" w:type="dxa"/>
              <w:left w:w="120" w:type="dxa"/>
              <w:bottom w:w="30" w:type="dxa"/>
              <w:right w:w="120" w:type="dxa"/>
            </w:tcMar>
            <w:vAlign w:val="center"/>
          </w:tcPr>
          <w:p w14:paraId="4904B7F7">
            <w:pPr>
              <w:keepNext w:val="0"/>
              <w:keepLines w:val="0"/>
              <w:widowControl/>
              <w:suppressLineNumbers w:val="0"/>
              <w:spacing w:before="120" w:beforeAutospacing="0" w:after="120" w:afterAutospacing="0" w:line="288" w:lineRule="auto"/>
              <w:ind w:left="0" w:right="0"/>
              <w:jc w:val="center"/>
              <w:rPr>
                <w:rFonts w:hint="default" w:ascii="宋体" w:hAnsi="宋体" w:eastAsia="宋体" w:cs="宋体"/>
                <w:sz w:val="22"/>
              </w:rPr>
            </w:pPr>
          </w:p>
        </w:tc>
      </w:tr>
      <w:tr w14:paraId="5F81A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41" w:hRule="atLeast"/>
        </w:trPr>
        <w:tc>
          <w:tcPr>
            <w:tcW w:w="697" w:type="dxa"/>
            <w:tcMar>
              <w:top w:w="60" w:type="dxa"/>
              <w:left w:w="120" w:type="dxa"/>
              <w:bottom w:w="30" w:type="dxa"/>
              <w:right w:w="120" w:type="dxa"/>
            </w:tcMar>
            <w:vAlign w:val="center"/>
          </w:tcPr>
          <w:p w14:paraId="173FD971">
            <w:pPr>
              <w:keepNext w:val="0"/>
              <w:keepLines w:val="0"/>
              <w:widowControl/>
              <w:suppressLineNumbers w:val="0"/>
              <w:spacing w:before="120" w:beforeAutospacing="0" w:after="120" w:afterAutospacing="0" w:line="288" w:lineRule="auto"/>
              <w:ind w:left="0" w:right="0"/>
              <w:jc w:val="center"/>
              <w:rPr>
                <w:rFonts w:hint="default" w:ascii="宋体" w:hAnsi="宋体" w:eastAsia="宋体" w:cs="宋体"/>
              </w:rPr>
            </w:pPr>
            <w:r>
              <w:rPr>
                <w:rFonts w:hint="eastAsia" w:ascii="宋体" w:hAnsi="宋体" w:eastAsia="宋体" w:cs="宋体"/>
                <w:sz w:val="22"/>
              </w:rPr>
              <w:t>3</w:t>
            </w:r>
          </w:p>
        </w:tc>
        <w:tc>
          <w:tcPr>
            <w:tcW w:w="1759" w:type="dxa"/>
            <w:shd w:val="clear" w:color="auto" w:fill="auto"/>
            <w:tcMar>
              <w:top w:w="60" w:type="dxa"/>
              <w:left w:w="120" w:type="dxa"/>
              <w:bottom w:w="30" w:type="dxa"/>
              <w:right w:w="120" w:type="dxa"/>
            </w:tcMar>
            <w:vAlign w:val="center"/>
          </w:tcPr>
          <w:p w14:paraId="21574BC6">
            <w:pPr>
              <w:keepNext w:val="0"/>
              <w:keepLines w:val="0"/>
              <w:widowControl/>
              <w:suppressLineNumbers w:val="0"/>
              <w:spacing w:before="120" w:beforeAutospacing="0" w:after="120" w:afterAutospacing="0" w:line="288" w:lineRule="auto"/>
              <w:ind w:left="0" w:right="0"/>
              <w:jc w:val="center"/>
              <w:rPr>
                <w:rFonts w:hint="default" w:ascii="宋体" w:hAnsi="宋体" w:eastAsia="宋体" w:cs="宋体"/>
              </w:rPr>
            </w:pPr>
            <w:r>
              <w:rPr>
                <w:rFonts w:hint="eastAsia" w:ascii="宋体" w:hAnsi="宋体" w:eastAsia="宋体" w:cs="宋体"/>
                <w:sz w:val="22"/>
              </w:rPr>
              <w:t>验收技术标准</w:t>
            </w:r>
          </w:p>
        </w:tc>
        <w:tc>
          <w:tcPr>
            <w:tcW w:w="5345" w:type="dxa"/>
            <w:shd w:val="clear" w:color="auto" w:fill="auto"/>
            <w:tcMar>
              <w:top w:w="60" w:type="dxa"/>
              <w:left w:w="120" w:type="dxa"/>
              <w:bottom w:w="30" w:type="dxa"/>
              <w:right w:w="120" w:type="dxa"/>
            </w:tcMar>
            <w:vAlign w:val="center"/>
          </w:tcPr>
          <w:p w14:paraId="487E0AAA">
            <w:pPr>
              <w:keepNext w:val="0"/>
              <w:keepLines w:val="0"/>
              <w:widowControl/>
              <w:suppressLineNumbers w:val="0"/>
              <w:spacing w:before="120" w:beforeAutospacing="0" w:after="120" w:afterAutospacing="0" w:line="288" w:lineRule="auto"/>
              <w:ind w:left="0" w:right="0"/>
              <w:jc w:val="center"/>
              <w:rPr>
                <w:rFonts w:hint="default" w:ascii="宋体" w:hAnsi="宋体" w:eastAsia="宋体" w:cs="宋体"/>
                <w:sz w:val="22"/>
              </w:rPr>
            </w:pPr>
            <w:r>
              <w:rPr>
                <w:rFonts w:hint="eastAsia" w:ascii="宋体" w:hAnsi="宋体" w:eastAsia="宋体" w:cs="宋体"/>
                <w:sz w:val="22"/>
              </w:rPr>
              <w:t>采购方要求、符合相关政策规范及合同约定交付</w:t>
            </w:r>
          </w:p>
          <w:p w14:paraId="6913D038">
            <w:pPr>
              <w:keepNext w:val="0"/>
              <w:keepLines w:val="0"/>
              <w:widowControl/>
              <w:suppressLineNumbers w:val="0"/>
              <w:spacing w:before="120" w:beforeAutospacing="0" w:after="120" w:afterAutospacing="0" w:line="288" w:lineRule="auto"/>
              <w:ind w:left="0" w:right="0"/>
              <w:jc w:val="center"/>
              <w:rPr>
                <w:rFonts w:hint="default" w:ascii="宋体" w:hAnsi="宋体" w:eastAsia="宋体" w:cs="宋体"/>
              </w:rPr>
            </w:pPr>
            <w:r>
              <w:rPr>
                <w:rFonts w:hint="eastAsia" w:ascii="宋体" w:hAnsi="宋体" w:eastAsia="宋体" w:cs="宋体"/>
                <w:sz w:val="22"/>
              </w:rPr>
              <w:t>的技术要求</w:t>
            </w:r>
          </w:p>
        </w:tc>
        <w:tc>
          <w:tcPr>
            <w:tcW w:w="1037" w:type="dxa"/>
            <w:tcMar>
              <w:top w:w="60" w:type="dxa"/>
              <w:left w:w="120" w:type="dxa"/>
              <w:bottom w:w="30" w:type="dxa"/>
              <w:right w:w="120" w:type="dxa"/>
            </w:tcMar>
            <w:vAlign w:val="center"/>
          </w:tcPr>
          <w:p w14:paraId="0039688E">
            <w:pPr>
              <w:keepNext w:val="0"/>
              <w:keepLines w:val="0"/>
              <w:widowControl/>
              <w:suppressLineNumbers w:val="0"/>
              <w:spacing w:before="120" w:beforeAutospacing="0" w:after="120" w:afterAutospacing="0" w:line="288" w:lineRule="auto"/>
              <w:ind w:left="0" w:right="0"/>
              <w:jc w:val="center"/>
              <w:rPr>
                <w:rFonts w:hint="default" w:ascii="宋体" w:hAnsi="宋体" w:eastAsia="宋体" w:cs="宋体"/>
                <w:sz w:val="22"/>
              </w:rPr>
            </w:pPr>
          </w:p>
        </w:tc>
      </w:tr>
      <w:tr w14:paraId="10A32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33" w:hRule="atLeast"/>
        </w:trPr>
        <w:tc>
          <w:tcPr>
            <w:tcW w:w="697" w:type="dxa"/>
            <w:tcMar>
              <w:top w:w="60" w:type="dxa"/>
              <w:left w:w="120" w:type="dxa"/>
              <w:bottom w:w="30" w:type="dxa"/>
              <w:right w:w="120" w:type="dxa"/>
            </w:tcMar>
            <w:vAlign w:val="center"/>
          </w:tcPr>
          <w:p w14:paraId="778AECBF">
            <w:pPr>
              <w:keepNext w:val="0"/>
              <w:keepLines w:val="0"/>
              <w:widowControl/>
              <w:suppressLineNumbers w:val="0"/>
              <w:spacing w:before="120" w:beforeAutospacing="0" w:after="120" w:afterAutospacing="0" w:line="288" w:lineRule="auto"/>
              <w:ind w:left="0" w:right="0"/>
              <w:jc w:val="center"/>
              <w:rPr>
                <w:rFonts w:hint="default" w:ascii="宋体" w:hAnsi="宋体" w:eastAsia="宋体" w:cs="宋体"/>
              </w:rPr>
            </w:pPr>
            <w:r>
              <w:rPr>
                <w:rFonts w:hint="eastAsia" w:ascii="宋体" w:hAnsi="宋体" w:eastAsia="宋体" w:cs="宋体"/>
                <w:sz w:val="22"/>
              </w:rPr>
              <w:t>4</w:t>
            </w:r>
          </w:p>
        </w:tc>
        <w:tc>
          <w:tcPr>
            <w:tcW w:w="1759" w:type="dxa"/>
            <w:shd w:val="clear" w:color="auto" w:fill="auto"/>
            <w:tcMar>
              <w:top w:w="60" w:type="dxa"/>
              <w:left w:w="120" w:type="dxa"/>
              <w:bottom w:w="30" w:type="dxa"/>
              <w:right w:w="120" w:type="dxa"/>
            </w:tcMar>
            <w:vAlign w:val="center"/>
          </w:tcPr>
          <w:p w14:paraId="60C031E0">
            <w:pPr>
              <w:keepNext w:val="0"/>
              <w:keepLines w:val="0"/>
              <w:widowControl/>
              <w:suppressLineNumbers w:val="0"/>
              <w:spacing w:before="120" w:beforeAutospacing="0" w:after="120" w:afterAutospacing="0" w:line="288" w:lineRule="auto"/>
              <w:ind w:left="0" w:right="0"/>
              <w:jc w:val="center"/>
              <w:rPr>
                <w:rFonts w:hint="default" w:ascii="宋体" w:hAnsi="宋体" w:eastAsia="宋体" w:cs="宋体"/>
              </w:rPr>
            </w:pPr>
            <w:r>
              <w:rPr>
                <w:rFonts w:hint="eastAsia" w:ascii="宋体" w:hAnsi="宋体" w:eastAsia="宋体" w:cs="宋体"/>
                <w:sz w:val="22"/>
              </w:rPr>
              <w:t>验收方法</w:t>
            </w:r>
          </w:p>
        </w:tc>
        <w:tc>
          <w:tcPr>
            <w:tcW w:w="5345" w:type="dxa"/>
            <w:shd w:val="clear" w:color="auto" w:fill="auto"/>
            <w:tcMar>
              <w:top w:w="60" w:type="dxa"/>
              <w:left w:w="120" w:type="dxa"/>
              <w:bottom w:w="30" w:type="dxa"/>
              <w:right w:w="120" w:type="dxa"/>
            </w:tcMar>
            <w:vAlign w:val="center"/>
          </w:tcPr>
          <w:p w14:paraId="0D1AAB39">
            <w:pPr>
              <w:keepNext w:val="0"/>
              <w:keepLines w:val="0"/>
              <w:widowControl/>
              <w:suppressLineNumbers w:val="0"/>
              <w:spacing w:before="120" w:beforeAutospacing="0" w:after="120" w:afterAutospacing="0" w:line="288" w:lineRule="auto"/>
              <w:ind w:left="0" w:right="0"/>
              <w:jc w:val="center"/>
              <w:rPr>
                <w:rFonts w:hint="default" w:ascii="宋体" w:hAnsi="宋体" w:eastAsia="宋体" w:cs="宋体"/>
              </w:rPr>
            </w:pPr>
            <w:r>
              <w:rPr>
                <w:rFonts w:hint="eastAsia" w:ascii="宋体" w:hAnsi="宋体" w:eastAsia="宋体" w:cs="宋体"/>
                <w:sz w:val="22"/>
              </w:rPr>
              <w:t>现场核查、资料审核或比对核验及其他等方式</w:t>
            </w:r>
          </w:p>
        </w:tc>
        <w:tc>
          <w:tcPr>
            <w:tcW w:w="1037" w:type="dxa"/>
            <w:tcMar>
              <w:top w:w="60" w:type="dxa"/>
              <w:left w:w="120" w:type="dxa"/>
              <w:bottom w:w="30" w:type="dxa"/>
              <w:right w:w="120" w:type="dxa"/>
            </w:tcMar>
            <w:vAlign w:val="center"/>
          </w:tcPr>
          <w:p w14:paraId="18AC9659">
            <w:pPr>
              <w:keepNext w:val="0"/>
              <w:keepLines w:val="0"/>
              <w:widowControl/>
              <w:suppressLineNumbers w:val="0"/>
              <w:spacing w:before="120" w:beforeAutospacing="0" w:after="120" w:afterAutospacing="0" w:line="288" w:lineRule="auto"/>
              <w:ind w:left="0" w:right="0"/>
              <w:jc w:val="center"/>
              <w:rPr>
                <w:rFonts w:hint="default" w:ascii="宋体" w:hAnsi="宋体" w:eastAsia="宋体" w:cs="宋体"/>
                <w:sz w:val="22"/>
              </w:rPr>
            </w:pPr>
          </w:p>
        </w:tc>
      </w:tr>
      <w:tr w14:paraId="66201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03" w:hRule="atLeast"/>
        </w:trPr>
        <w:tc>
          <w:tcPr>
            <w:tcW w:w="697" w:type="dxa"/>
            <w:tcMar>
              <w:top w:w="60" w:type="dxa"/>
              <w:left w:w="120" w:type="dxa"/>
              <w:bottom w:w="30" w:type="dxa"/>
              <w:right w:w="120" w:type="dxa"/>
            </w:tcMar>
            <w:vAlign w:val="center"/>
          </w:tcPr>
          <w:p w14:paraId="0DFDAECB">
            <w:pPr>
              <w:keepNext w:val="0"/>
              <w:keepLines w:val="0"/>
              <w:widowControl/>
              <w:suppressLineNumbers w:val="0"/>
              <w:spacing w:before="120" w:beforeAutospacing="0" w:after="120" w:afterAutospacing="0" w:line="288" w:lineRule="auto"/>
              <w:ind w:left="0" w:right="0"/>
              <w:jc w:val="center"/>
              <w:rPr>
                <w:rFonts w:hint="default" w:ascii="宋体" w:hAnsi="宋体" w:eastAsia="宋体" w:cs="宋体"/>
              </w:rPr>
            </w:pPr>
            <w:r>
              <w:rPr>
                <w:rFonts w:hint="eastAsia" w:ascii="宋体" w:hAnsi="宋体" w:eastAsia="宋体" w:cs="宋体"/>
                <w:sz w:val="22"/>
              </w:rPr>
              <w:t>5</w:t>
            </w:r>
          </w:p>
        </w:tc>
        <w:tc>
          <w:tcPr>
            <w:tcW w:w="1759" w:type="dxa"/>
            <w:shd w:val="clear" w:color="auto" w:fill="auto"/>
            <w:tcMar>
              <w:top w:w="60" w:type="dxa"/>
              <w:left w:w="120" w:type="dxa"/>
              <w:bottom w:w="30" w:type="dxa"/>
              <w:right w:w="120" w:type="dxa"/>
            </w:tcMar>
            <w:vAlign w:val="center"/>
          </w:tcPr>
          <w:p w14:paraId="36CAAE6A">
            <w:pPr>
              <w:keepNext w:val="0"/>
              <w:keepLines w:val="0"/>
              <w:widowControl/>
              <w:suppressLineNumbers w:val="0"/>
              <w:spacing w:before="120" w:beforeAutospacing="0" w:after="120" w:afterAutospacing="0" w:line="288" w:lineRule="auto"/>
              <w:ind w:left="0" w:right="0"/>
              <w:jc w:val="center"/>
              <w:rPr>
                <w:rFonts w:hint="default" w:ascii="宋体" w:hAnsi="宋体" w:eastAsia="宋体" w:cs="宋体"/>
              </w:rPr>
            </w:pPr>
            <w:r>
              <w:rPr>
                <w:rFonts w:hint="eastAsia" w:ascii="宋体" w:hAnsi="宋体" w:eastAsia="宋体" w:cs="宋体"/>
                <w:sz w:val="22"/>
              </w:rPr>
              <w:t>验收程序</w:t>
            </w:r>
          </w:p>
        </w:tc>
        <w:tc>
          <w:tcPr>
            <w:tcW w:w="5345" w:type="dxa"/>
            <w:shd w:val="clear" w:color="auto" w:fill="auto"/>
            <w:tcMar>
              <w:top w:w="60" w:type="dxa"/>
              <w:left w:w="120" w:type="dxa"/>
              <w:bottom w:w="30" w:type="dxa"/>
              <w:right w:w="120" w:type="dxa"/>
            </w:tcMar>
            <w:vAlign w:val="center"/>
          </w:tcPr>
          <w:p w14:paraId="59EFB570">
            <w:pPr>
              <w:keepNext w:val="0"/>
              <w:keepLines w:val="0"/>
              <w:widowControl/>
              <w:suppressLineNumbers w:val="0"/>
              <w:spacing w:before="120" w:beforeAutospacing="0" w:after="120" w:afterAutospacing="0" w:line="288" w:lineRule="auto"/>
              <w:ind w:left="0" w:right="0"/>
              <w:jc w:val="center"/>
              <w:rPr>
                <w:rFonts w:hint="default" w:ascii="宋体" w:hAnsi="宋体" w:eastAsia="宋体" w:cs="宋体"/>
              </w:rPr>
            </w:pPr>
            <w:r>
              <w:rPr>
                <w:rFonts w:hint="eastAsia" w:ascii="宋体" w:hAnsi="宋体" w:eastAsia="宋体" w:cs="宋体"/>
                <w:sz w:val="22"/>
              </w:rPr>
              <w:t>1.供应商交付履约约定成果→2.采购方初审→3.正式验收出具结论→4.归档</w:t>
            </w:r>
          </w:p>
        </w:tc>
        <w:tc>
          <w:tcPr>
            <w:tcW w:w="1037" w:type="dxa"/>
            <w:tcMar>
              <w:top w:w="60" w:type="dxa"/>
              <w:left w:w="120" w:type="dxa"/>
              <w:bottom w:w="30" w:type="dxa"/>
              <w:right w:w="120" w:type="dxa"/>
            </w:tcMar>
            <w:vAlign w:val="center"/>
          </w:tcPr>
          <w:p w14:paraId="0C4ED853">
            <w:pPr>
              <w:keepNext w:val="0"/>
              <w:keepLines w:val="0"/>
              <w:widowControl/>
              <w:suppressLineNumbers w:val="0"/>
              <w:spacing w:before="120" w:beforeAutospacing="0" w:after="120" w:afterAutospacing="0" w:line="288" w:lineRule="auto"/>
              <w:ind w:left="0" w:right="0"/>
              <w:jc w:val="center"/>
              <w:rPr>
                <w:rFonts w:hint="default" w:ascii="宋体" w:hAnsi="宋体" w:eastAsia="宋体" w:cs="宋体"/>
                <w:sz w:val="22"/>
              </w:rPr>
            </w:pPr>
          </w:p>
        </w:tc>
      </w:tr>
      <w:tr w14:paraId="2A524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22" w:hRule="atLeast"/>
        </w:trPr>
        <w:tc>
          <w:tcPr>
            <w:tcW w:w="2456" w:type="dxa"/>
            <w:gridSpan w:val="2"/>
            <w:tcMar>
              <w:top w:w="60" w:type="dxa"/>
              <w:left w:w="120" w:type="dxa"/>
              <w:bottom w:w="30" w:type="dxa"/>
              <w:right w:w="120" w:type="dxa"/>
            </w:tcMar>
            <w:vAlign w:val="center"/>
          </w:tcPr>
          <w:p w14:paraId="211A3D46">
            <w:pPr>
              <w:keepNext w:val="0"/>
              <w:keepLines w:val="0"/>
              <w:widowControl/>
              <w:suppressLineNumbers w:val="0"/>
              <w:spacing w:before="120" w:beforeAutospacing="0" w:after="120" w:afterAutospacing="0" w:line="288" w:lineRule="auto"/>
              <w:ind w:left="0" w:right="0"/>
              <w:jc w:val="center"/>
              <w:rPr>
                <w:rFonts w:hint="default" w:ascii="宋体" w:hAnsi="宋体" w:eastAsia="宋体" w:cs="宋体"/>
              </w:rPr>
            </w:pPr>
            <w:r>
              <w:rPr>
                <w:rFonts w:hint="eastAsia" w:ascii="宋体" w:hAnsi="宋体" w:eastAsia="宋体" w:cs="宋体"/>
                <w:sz w:val="22"/>
              </w:rPr>
              <w:t>备注</w:t>
            </w:r>
          </w:p>
        </w:tc>
        <w:tc>
          <w:tcPr>
            <w:tcW w:w="5345" w:type="dxa"/>
            <w:tcMar>
              <w:top w:w="60" w:type="dxa"/>
              <w:left w:w="120" w:type="dxa"/>
              <w:bottom w:w="30" w:type="dxa"/>
              <w:right w:w="120" w:type="dxa"/>
            </w:tcMar>
            <w:vAlign w:val="center"/>
          </w:tcPr>
          <w:p w14:paraId="62C8FAD7">
            <w:pPr>
              <w:keepNext w:val="0"/>
              <w:keepLines w:val="0"/>
              <w:widowControl/>
              <w:suppressLineNumbers w:val="0"/>
              <w:spacing w:before="120" w:beforeAutospacing="0" w:after="120" w:afterAutospacing="0" w:line="288" w:lineRule="auto"/>
              <w:ind w:left="0" w:right="0"/>
              <w:jc w:val="center"/>
              <w:rPr>
                <w:rFonts w:hint="default" w:ascii="宋体" w:hAnsi="宋体" w:eastAsia="宋体" w:cs="宋体"/>
              </w:rPr>
            </w:pPr>
          </w:p>
        </w:tc>
        <w:tc>
          <w:tcPr>
            <w:tcW w:w="1037" w:type="dxa"/>
            <w:tcMar>
              <w:top w:w="60" w:type="dxa"/>
              <w:left w:w="120" w:type="dxa"/>
              <w:bottom w:w="30" w:type="dxa"/>
              <w:right w:w="120" w:type="dxa"/>
            </w:tcMar>
            <w:vAlign w:val="center"/>
          </w:tcPr>
          <w:p w14:paraId="7154E735">
            <w:pPr>
              <w:keepNext w:val="0"/>
              <w:keepLines w:val="0"/>
              <w:widowControl/>
              <w:suppressLineNumbers w:val="0"/>
              <w:spacing w:before="120" w:beforeAutospacing="0" w:after="120" w:afterAutospacing="0" w:line="288" w:lineRule="auto"/>
              <w:ind w:left="0" w:right="0"/>
              <w:jc w:val="center"/>
              <w:rPr>
                <w:rFonts w:hint="default" w:ascii="宋体" w:hAnsi="宋体" w:eastAsia="宋体" w:cs="宋体"/>
                <w:sz w:val="22"/>
              </w:rPr>
            </w:pPr>
          </w:p>
        </w:tc>
      </w:tr>
    </w:tbl>
    <w:p w14:paraId="4513AA84">
      <w:pPr>
        <w:spacing w:before="380" w:after="140" w:line="288" w:lineRule="auto"/>
        <w:jc w:val="left"/>
        <w:outlineLvl w:val="0"/>
        <w:rPr>
          <w:rFonts w:ascii="Arial" w:hAnsi="Arial" w:eastAsia="等线" w:cs="Arial"/>
          <w:b/>
          <w:sz w:val="36"/>
        </w:rPr>
      </w:pPr>
      <w:bookmarkStart w:id="7" w:name="heading_1"/>
    </w:p>
    <w:p w14:paraId="43FB4F0F">
      <w:pPr>
        <w:spacing w:before="380" w:after="140" w:line="288" w:lineRule="auto"/>
        <w:jc w:val="left"/>
        <w:outlineLvl w:val="0"/>
        <w:rPr>
          <w:rFonts w:ascii="Arial" w:hAnsi="Arial" w:eastAsia="等线" w:cs="Arial"/>
          <w:b/>
          <w:sz w:val="36"/>
        </w:rPr>
      </w:pPr>
    </w:p>
    <w:p w14:paraId="25719A71">
      <w:pPr>
        <w:spacing w:before="380" w:after="140" w:line="288" w:lineRule="auto"/>
        <w:jc w:val="left"/>
        <w:outlineLvl w:val="0"/>
        <w:rPr>
          <w:rFonts w:ascii="Arial" w:hAnsi="Arial" w:eastAsia="等线" w:cs="Arial"/>
          <w:b/>
          <w:sz w:val="36"/>
        </w:rPr>
      </w:pPr>
    </w:p>
    <w:p w14:paraId="0A90C7D2">
      <w:pPr>
        <w:spacing w:before="380" w:after="140" w:line="288" w:lineRule="auto"/>
        <w:jc w:val="left"/>
        <w:outlineLvl w:val="0"/>
        <w:rPr>
          <w:rFonts w:ascii="Arial" w:hAnsi="Arial" w:eastAsia="等线" w:cs="Arial"/>
          <w:b/>
          <w:sz w:val="36"/>
        </w:rPr>
      </w:pPr>
    </w:p>
    <w:p w14:paraId="19206C01">
      <w:pPr>
        <w:spacing w:before="380" w:after="140" w:line="288" w:lineRule="auto"/>
        <w:jc w:val="left"/>
        <w:outlineLvl w:val="0"/>
        <w:rPr>
          <w:rFonts w:ascii="Arial" w:hAnsi="Arial" w:eastAsia="等线" w:cs="Arial"/>
          <w:b/>
          <w:sz w:val="36"/>
        </w:rPr>
      </w:pPr>
    </w:p>
    <w:p w14:paraId="164B0BAF">
      <w:pPr>
        <w:rPr>
          <w:rFonts w:hint="eastAsia"/>
          <w:color w:val="000000"/>
          <w:sz w:val="30"/>
          <w:szCs w:val="30"/>
        </w:rPr>
      </w:pPr>
    </w:p>
    <w:p w14:paraId="5ACC5FFE">
      <w:pPr>
        <w:rPr>
          <w:rFonts w:ascii="Arial" w:hAnsi="Arial" w:eastAsia="等线" w:cs="Arial"/>
          <w:b/>
          <w:sz w:val="36"/>
        </w:rPr>
      </w:pPr>
      <w:r>
        <w:rPr>
          <w:rFonts w:hint="eastAsia"/>
          <w:color w:val="000000"/>
          <w:sz w:val="30"/>
          <w:szCs w:val="30"/>
        </w:rPr>
        <w:t>附件</w:t>
      </w:r>
      <w:r>
        <w:rPr>
          <w:rFonts w:hint="eastAsia" w:eastAsia="宋体"/>
          <w:color w:val="000000"/>
          <w:sz w:val="30"/>
          <w:szCs w:val="30"/>
          <w:lang w:val="en-US" w:eastAsia="zh-CN"/>
        </w:rPr>
        <w:t>3</w:t>
      </w:r>
      <w:r>
        <w:rPr>
          <w:rFonts w:hint="eastAsia"/>
          <w:color w:val="000000"/>
          <w:sz w:val="30"/>
          <w:szCs w:val="30"/>
        </w:rPr>
        <w:t>：</w:t>
      </w:r>
    </w:p>
    <w:p w14:paraId="7726F1A3">
      <w:pPr>
        <w:spacing w:before="380" w:after="140" w:line="288" w:lineRule="auto"/>
        <w:jc w:val="center"/>
        <w:outlineLvl w:val="0"/>
        <w:rPr>
          <w:rFonts w:eastAsia="等线"/>
        </w:rPr>
      </w:pPr>
      <w:r>
        <w:rPr>
          <w:rFonts w:ascii="Arial" w:hAnsi="Arial" w:eastAsia="等线" w:cs="Arial"/>
          <w:b/>
          <w:sz w:val="36"/>
        </w:rPr>
        <w:t>项目履约验收报告</w:t>
      </w:r>
      <w:bookmarkEnd w:id="7"/>
      <w:r>
        <w:rPr>
          <w:rFonts w:hint="eastAsia" w:ascii="Arial" w:hAnsi="Arial" w:eastAsia="等线" w:cs="Arial"/>
          <w:b/>
          <w:sz w:val="36"/>
        </w:rPr>
        <w:t>单</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468"/>
        <w:gridCol w:w="5991"/>
      </w:tblGrid>
      <w:tr w14:paraId="4FFCE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468" w:type="dxa"/>
            <w:tcMar>
              <w:top w:w="60" w:type="dxa"/>
              <w:left w:w="120" w:type="dxa"/>
              <w:bottom w:w="30" w:type="dxa"/>
              <w:right w:w="120" w:type="dxa"/>
            </w:tcMar>
            <w:vAlign w:val="center"/>
          </w:tcPr>
          <w:p w14:paraId="5C9D150D">
            <w:pPr>
              <w:keepNext w:val="0"/>
              <w:keepLines w:val="0"/>
              <w:widowControl/>
              <w:suppressLineNumbers w:val="0"/>
              <w:spacing w:before="0" w:beforeAutospacing="0" w:after="0" w:afterAutospacing="0" w:line="288" w:lineRule="auto"/>
              <w:ind w:left="0" w:right="0"/>
              <w:jc w:val="center"/>
              <w:rPr>
                <w:rFonts w:hint="default" w:ascii="宋体" w:hAnsi="宋体" w:eastAsia="宋体" w:cs="宋体"/>
                <w:sz w:val="22"/>
              </w:rPr>
            </w:pPr>
            <w:r>
              <w:rPr>
                <w:rFonts w:hint="eastAsia" w:ascii="宋体" w:hAnsi="宋体" w:eastAsia="宋体" w:cs="宋体"/>
                <w:sz w:val="22"/>
              </w:rPr>
              <w:t>基础信息栏</w:t>
            </w:r>
          </w:p>
        </w:tc>
        <w:tc>
          <w:tcPr>
            <w:tcW w:w="5991" w:type="dxa"/>
            <w:tcMar>
              <w:top w:w="60" w:type="dxa"/>
              <w:left w:w="120" w:type="dxa"/>
              <w:bottom w:w="30" w:type="dxa"/>
              <w:right w:w="120" w:type="dxa"/>
            </w:tcMar>
          </w:tcPr>
          <w:p w14:paraId="1CF8F33A">
            <w:pPr>
              <w:keepNext w:val="0"/>
              <w:keepLines w:val="0"/>
              <w:widowControl/>
              <w:suppressLineNumbers w:val="0"/>
              <w:spacing w:before="0" w:beforeAutospacing="0" w:after="0" w:afterAutospacing="0" w:line="288" w:lineRule="auto"/>
              <w:ind w:left="0" w:right="0"/>
              <w:jc w:val="center"/>
              <w:rPr>
                <w:rFonts w:hint="default" w:ascii="宋体" w:hAnsi="宋体" w:eastAsia="宋体" w:cs="宋体"/>
                <w:sz w:val="22"/>
              </w:rPr>
            </w:pPr>
            <w:r>
              <w:rPr>
                <w:rFonts w:hint="eastAsia" w:ascii="宋体" w:hAnsi="宋体" w:eastAsia="宋体" w:cs="宋体"/>
                <w:sz w:val="22"/>
              </w:rPr>
              <w:t>填写内容</w:t>
            </w:r>
          </w:p>
        </w:tc>
      </w:tr>
      <w:tr w14:paraId="2F648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67" w:hRule="atLeast"/>
        </w:trPr>
        <w:tc>
          <w:tcPr>
            <w:tcW w:w="2468" w:type="dxa"/>
            <w:tcMar>
              <w:top w:w="60" w:type="dxa"/>
              <w:left w:w="120" w:type="dxa"/>
              <w:bottom w:w="30" w:type="dxa"/>
              <w:right w:w="120" w:type="dxa"/>
            </w:tcMar>
            <w:vAlign w:val="center"/>
          </w:tcPr>
          <w:p w14:paraId="6B642B78">
            <w:pPr>
              <w:keepNext w:val="0"/>
              <w:keepLines w:val="0"/>
              <w:widowControl/>
              <w:suppressLineNumbers w:val="0"/>
              <w:spacing w:before="0" w:beforeAutospacing="0" w:after="0" w:afterAutospacing="0" w:line="288" w:lineRule="auto"/>
              <w:ind w:left="0" w:right="0"/>
              <w:jc w:val="center"/>
              <w:rPr>
                <w:rFonts w:hint="default" w:ascii="宋体" w:hAnsi="宋体" w:eastAsia="宋体" w:cs="宋体"/>
                <w:sz w:val="22"/>
              </w:rPr>
            </w:pPr>
            <w:r>
              <w:rPr>
                <w:rFonts w:hint="eastAsia" w:ascii="宋体" w:hAnsi="宋体" w:eastAsia="宋体" w:cs="宋体"/>
                <w:sz w:val="22"/>
              </w:rPr>
              <w:t>合同编号</w:t>
            </w:r>
          </w:p>
        </w:tc>
        <w:tc>
          <w:tcPr>
            <w:tcW w:w="5991" w:type="dxa"/>
            <w:tcMar>
              <w:top w:w="60" w:type="dxa"/>
              <w:left w:w="120" w:type="dxa"/>
              <w:bottom w:w="30" w:type="dxa"/>
              <w:right w:w="120" w:type="dxa"/>
            </w:tcMar>
          </w:tcPr>
          <w:p w14:paraId="4A64A703">
            <w:pPr>
              <w:keepNext w:val="0"/>
              <w:keepLines w:val="0"/>
              <w:widowControl/>
              <w:suppressLineNumbers w:val="0"/>
              <w:spacing w:before="0" w:beforeAutospacing="0" w:after="0" w:afterAutospacing="0"/>
              <w:ind w:left="0" w:right="0"/>
              <w:jc w:val="center"/>
              <w:rPr>
                <w:rFonts w:hint="default" w:ascii="宋体" w:hAnsi="宋体" w:eastAsia="宋体" w:cs="宋体"/>
                <w:sz w:val="22"/>
              </w:rPr>
            </w:pPr>
          </w:p>
        </w:tc>
      </w:tr>
      <w:tr w14:paraId="2A9CA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5" w:hRule="atLeast"/>
        </w:trPr>
        <w:tc>
          <w:tcPr>
            <w:tcW w:w="2468" w:type="dxa"/>
            <w:tcMar>
              <w:top w:w="60" w:type="dxa"/>
              <w:left w:w="120" w:type="dxa"/>
              <w:bottom w:w="30" w:type="dxa"/>
              <w:right w:w="120" w:type="dxa"/>
            </w:tcMar>
            <w:vAlign w:val="center"/>
          </w:tcPr>
          <w:p w14:paraId="2825E868">
            <w:pPr>
              <w:keepNext w:val="0"/>
              <w:keepLines w:val="0"/>
              <w:widowControl/>
              <w:suppressLineNumbers w:val="0"/>
              <w:spacing w:before="0" w:beforeAutospacing="0" w:after="0" w:afterAutospacing="0" w:line="288" w:lineRule="auto"/>
              <w:ind w:left="0" w:right="0"/>
              <w:jc w:val="center"/>
              <w:rPr>
                <w:rFonts w:hint="default" w:ascii="宋体" w:hAnsi="宋体" w:eastAsia="宋体" w:cs="宋体"/>
                <w:sz w:val="22"/>
              </w:rPr>
            </w:pPr>
            <w:r>
              <w:rPr>
                <w:rFonts w:hint="eastAsia" w:ascii="宋体" w:hAnsi="宋体" w:eastAsia="宋体" w:cs="宋体"/>
                <w:sz w:val="22"/>
              </w:rPr>
              <w:t>合同名称</w:t>
            </w:r>
          </w:p>
        </w:tc>
        <w:tc>
          <w:tcPr>
            <w:tcW w:w="5991" w:type="dxa"/>
            <w:tcMar>
              <w:top w:w="60" w:type="dxa"/>
              <w:left w:w="120" w:type="dxa"/>
              <w:bottom w:w="30" w:type="dxa"/>
              <w:right w:w="120" w:type="dxa"/>
            </w:tcMar>
          </w:tcPr>
          <w:p w14:paraId="35930A43">
            <w:pPr>
              <w:keepNext w:val="0"/>
              <w:keepLines w:val="0"/>
              <w:widowControl/>
              <w:suppressLineNumbers w:val="0"/>
              <w:spacing w:before="0" w:beforeAutospacing="0" w:after="0" w:afterAutospacing="0"/>
              <w:ind w:left="0" w:right="0"/>
              <w:jc w:val="center"/>
              <w:rPr>
                <w:rFonts w:hint="default" w:ascii="宋体" w:hAnsi="宋体" w:eastAsia="宋体" w:cs="宋体"/>
                <w:sz w:val="22"/>
              </w:rPr>
            </w:pPr>
          </w:p>
        </w:tc>
      </w:tr>
      <w:tr w14:paraId="0F39B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67" w:hRule="atLeast"/>
        </w:trPr>
        <w:tc>
          <w:tcPr>
            <w:tcW w:w="2468" w:type="dxa"/>
            <w:tcMar>
              <w:top w:w="60" w:type="dxa"/>
              <w:left w:w="120" w:type="dxa"/>
              <w:bottom w:w="30" w:type="dxa"/>
              <w:right w:w="120" w:type="dxa"/>
            </w:tcMar>
            <w:vAlign w:val="center"/>
          </w:tcPr>
          <w:p w14:paraId="0CD7A99C">
            <w:pPr>
              <w:keepNext w:val="0"/>
              <w:keepLines w:val="0"/>
              <w:widowControl/>
              <w:suppressLineNumbers w:val="0"/>
              <w:spacing w:before="0" w:beforeAutospacing="0" w:after="0" w:afterAutospacing="0" w:line="288" w:lineRule="auto"/>
              <w:ind w:left="0" w:right="0"/>
              <w:jc w:val="center"/>
              <w:rPr>
                <w:rFonts w:hint="default" w:ascii="宋体" w:hAnsi="宋体" w:eastAsia="宋体" w:cs="宋体"/>
                <w:sz w:val="22"/>
              </w:rPr>
            </w:pPr>
            <w:r>
              <w:rPr>
                <w:rFonts w:hint="eastAsia" w:ascii="宋体" w:hAnsi="宋体" w:eastAsia="宋体" w:cs="宋体"/>
                <w:sz w:val="22"/>
              </w:rPr>
              <w:t>项目编号</w:t>
            </w:r>
          </w:p>
        </w:tc>
        <w:tc>
          <w:tcPr>
            <w:tcW w:w="5991" w:type="dxa"/>
            <w:tcMar>
              <w:top w:w="60" w:type="dxa"/>
              <w:left w:w="120" w:type="dxa"/>
              <w:bottom w:w="30" w:type="dxa"/>
              <w:right w:w="120" w:type="dxa"/>
            </w:tcMar>
          </w:tcPr>
          <w:p w14:paraId="050E6F23">
            <w:pPr>
              <w:keepNext w:val="0"/>
              <w:keepLines w:val="0"/>
              <w:widowControl/>
              <w:suppressLineNumbers w:val="0"/>
              <w:spacing w:before="0" w:beforeAutospacing="0" w:after="0" w:afterAutospacing="0"/>
              <w:ind w:left="0" w:right="0"/>
              <w:jc w:val="center"/>
              <w:rPr>
                <w:rFonts w:hint="default" w:ascii="宋体" w:hAnsi="宋体" w:eastAsia="宋体" w:cs="宋体"/>
                <w:sz w:val="22"/>
              </w:rPr>
            </w:pPr>
          </w:p>
        </w:tc>
      </w:tr>
      <w:tr w14:paraId="0F5FE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67" w:hRule="atLeast"/>
        </w:trPr>
        <w:tc>
          <w:tcPr>
            <w:tcW w:w="2468" w:type="dxa"/>
            <w:tcMar>
              <w:top w:w="60" w:type="dxa"/>
              <w:left w:w="120" w:type="dxa"/>
              <w:bottom w:w="30" w:type="dxa"/>
              <w:right w:w="120" w:type="dxa"/>
            </w:tcMar>
            <w:vAlign w:val="center"/>
          </w:tcPr>
          <w:p w14:paraId="19A762EB">
            <w:pPr>
              <w:keepNext w:val="0"/>
              <w:keepLines w:val="0"/>
              <w:widowControl/>
              <w:suppressLineNumbers w:val="0"/>
              <w:spacing w:before="0" w:beforeAutospacing="0" w:after="0" w:afterAutospacing="0" w:line="288" w:lineRule="auto"/>
              <w:ind w:left="0" w:right="0"/>
              <w:jc w:val="center"/>
              <w:rPr>
                <w:rFonts w:hint="default" w:ascii="宋体" w:hAnsi="宋体" w:eastAsia="宋体" w:cs="宋体"/>
                <w:sz w:val="22"/>
              </w:rPr>
            </w:pPr>
            <w:r>
              <w:rPr>
                <w:rFonts w:hint="eastAsia" w:ascii="宋体" w:hAnsi="宋体" w:eastAsia="宋体" w:cs="宋体"/>
                <w:sz w:val="22"/>
              </w:rPr>
              <w:t>项目名称</w:t>
            </w:r>
          </w:p>
        </w:tc>
        <w:tc>
          <w:tcPr>
            <w:tcW w:w="5991" w:type="dxa"/>
            <w:tcMar>
              <w:top w:w="60" w:type="dxa"/>
              <w:left w:w="120" w:type="dxa"/>
              <w:bottom w:w="30" w:type="dxa"/>
              <w:right w:w="120" w:type="dxa"/>
            </w:tcMar>
          </w:tcPr>
          <w:p w14:paraId="5738B419">
            <w:pPr>
              <w:keepNext w:val="0"/>
              <w:keepLines w:val="0"/>
              <w:widowControl/>
              <w:suppressLineNumbers w:val="0"/>
              <w:spacing w:before="0" w:beforeAutospacing="0" w:after="0" w:afterAutospacing="0"/>
              <w:ind w:left="0" w:right="0"/>
              <w:jc w:val="center"/>
              <w:rPr>
                <w:rFonts w:hint="default" w:ascii="宋体" w:hAnsi="宋体" w:eastAsia="宋体" w:cs="宋体"/>
                <w:sz w:val="22"/>
              </w:rPr>
            </w:pPr>
          </w:p>
        </w:tc>
      </w:tr>
      <w:tr w14:paraId="1707C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6" w:hRule="atLeast"/>
        </w:trPr>
        <w:tc>
          <w:tcPr>
            <w:tcW w:w="2468" w:type="dxa"/>
            <w:tcMar>
              <w:top w:w="60" w:type="dxa"/>
              <w:left w:w="120" w:type="dxa"/>
              <w:bottom w:w="30" w:type="dxa"/>
              <w:right w:w="120" w:type="dxa"/>
            </w:tcMar>
            <w:vAlign w:val="center"/>
          </w:tcPr>
          <w:p w14:paraId="1A7C29F4">
            <w:pPr>
              <w:keepNext w:val="0"/>
              <w:keepLines w:val="0"/>
              <w:widowControl/>
              <w:suppressLineNumbers w:val="0"/>
              <w:spacing w:before="0" w:beforeAutospacing="0" w:after="0" w:afterAutospacing="0" w:line="288" w:lineRule="auto"/>
              <w:ind w:left="0" w:right="0"/>
              <w:jc w:val="center"/>
              <w:rPr>
                <w:rFonts w:hint="default" w:ascii="宋体" w:hAnsi="宋体" w:eastAsia="宋体" w:cs="宋体"/>
                <w:sz w:val="22"/>
              </w:rPr>
            </w:pPr>
            <w:r>
              <w:rPr>
                <w:rFonts w:hint="eastAsia" w:ascii="宋体" w:hAnsi="宋体" w:eastAsia="宋体" w:cs="宋体"/>
                <w:sz w:val="22"/>
              </w:rPr>
              <w:t>合同主体</w:t>
            </w:r>
          </w:p>
          <w:p w14:paraId="6219F883">
            <w:pPr>
              <w:keepNext w:val="0"/>
              <w:keepLines w:val="0"/>
              <w:widowControl/>
              <w:suppressLineNumbers w:val="0"/>
              <w:spacing w:before="0" w:beforeAutospacing="0" w:after="0" w:afterAutospacing="0" w:line="288" w:lineRule="auto"/>
              <w:ind w:left="0" w:right="0"/>
              <w:jc w:val="center"/>
              <w:rPr>
                <w:rFonts w:hint="default" w:ascii="宋体" w:hAnsi="宋体" w:eastAsia="宋体" w:cs="宋体"/>
                <w:sz w:val="22"/>
              </w:rPr>
            </w:pPr>
            <w:r>
              <w:rPr>
                <w:rFonts w:hint="eastAsia" w:ascii="宋体" w:hAnsi="宋体" w:eastAsia="宋体" w:cs="宋体"/>
                <w:sz w:val="22"/>
              </w:rPr>
              <w:t>（甲乙双方）</w:t>
            </w:r>
          </w:p>
        </w:tc>
        <w:tc>
          <w:tcPr>
            <w:tcW w:w="5991" w:type="dxa"/>
            <w:tcMar>
              <w:top w:w="60" w:type="dxa"/>
              <w:left w:w="120" w:type="dxa"/>
              <w:bottom w:w="30" w:type="dxa"/>
              <w:right w:w="120" w:type="dxa"/>
            </w:tcMar>
          </w:tcPr>
          <w:p w14:paraId="554949A4">
            <w:pPr>
              <w:keepNext w:val="0"/>
              <w:keepLines w:val="0"/>
              <w:widowControl/>
              <w:suppressLineNumbers w:val="0"/>
              <w:spacing w:before="0" w:beforeAutospacing="0" w:after="0" w:afterAutospacing="0" w:line="288" w:lineRule="auto"/>
              <w:ind w:left="0" w:right="0"/>
              <w:jc w:val="left"/>
              <w:rPr>
                <w:rFonts w:hint="default" w:ascii="宋体" w:hAnsi="宋体" w:eastAsia="宋体" w:cs="宋体"/>
                <w:sz w:val="22"/>
              </w:rPr>
            </w:pPr>
            <w:r>
              <w:rPr>
                <w:rFonts w:hint="eastAsia" w:ascii="宋体" w:hAnsi="宋体" w:eastAsia="宋体" w:cs="宋体"/>
                <w:sz w:val="22"/>
              </w:rPr>
              <w:t>采购人：</w:t>
            </w:r>
          </w:p>
          <w:p w14:paraId="1E45D3A0">
            <w:pPr>
              <w:keepNext w:val="0"/>
              <w:keepLines w:val="0"/>
              <w:widowControl/>
              <w:suppressLineNumbers w:val="0"/>
              <w:spacing w:before="0" w:beforeAutospacing="0" w:after="0" w:afterAutospacing="0" w:line="288" w:lineRule="auto"/>
              <w:ind w:left="0" w:right="0"/>
              <w:jc w:val="left"/>
              <w:rPr>
                <w:rFonts w:hint="default" w:ascii="宋体" w:hAnsi="宋体" w:eastAsia="宋体" w:cs="宋体"/>
                <w:sz w:val="22"/>
              </w:rPr>
            </w:pPr>
            <w:r>
              <w:rPr>
                <w:rFonts w:hint="eastAsia" w:ascii="宋体" w:hAnsi="宋体" w:eastAsia="宋体" w:cs="宋体"/>
                <w:sz w:val="22"/>
              </w:rPr>
              <w:t>履约供应商：</w:t>
            </w:r>
          </w:p>
        </w:tc>
      </w:tr>
      <w:tr w14:paraId="7A28A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67" w:hRule="atLeast"/>
        </w:trPr>
        <w:tc>
          <w:tcPr>
            <w:tcW w:w="2468" w:type="dxa"/>
            <w:tcMar>
              <w:top w:w="60" w:type="dxa"/>
              <w:left w:w="120" w:type="dxa"/>
              <w:bottom w:w="30" w:type="dxa"/>
              <w:right w:w="120" w:type="dxa"/>
            </w:tcMar>
            <w:vAlign w:val="center"/>
          </w:tcPr>
          <w:p w14:paraId="07E2E2A3">
            <w:pPr>
              <w:keepNext w:val="0"/>
              <w:keepLines w:val="0"/>
              <w:widowControl/>
              <w:suppressLineNumbers w:val="0"/>
              <w:spacing w:before="0" w:beforeAutospacing="0" w:after="0" w:afterAutospacing="0" w:line="288" w:lineRule="auto"/>
              <w:ind w:left="0" w:right="0"/>
              <w:jc w:val="center"/>
              <w:rPr>
                <w:rFonts w:hint="default" w:ascii="宋体" w:hAnsi="宋体" w:eastAsia="宋体" w:cs="宋体"/>
                <w:sz w:val="22"/>
              </w:rPr>
            </w:pPr>
            <w:r>
              <w:rPr>
                <w:rFonts w:hint="eastAsia" w:ascii="宋体" w:hAnsi="宋体" w:eastAsia="宋体" w:cs="宋体"/>
                <w:sz w:val="22"/>
              </w:rPr>
              <w:t>合同主要信息</w:t>
            </w:r>
          </w:p>
        </w:tc>
        <w:tc>
          <w:tcPr>
            <w:tcW w:w="5991" w:type="dxa"/>
            <w:tcMar>
              <w:top w:w="60" w:type="dxa"/>
              <w:left w:w="120" w:type="dxa"/>
              <w:bottom w:w="30" w:type="dxa"/>
              <w:right w:w="120" w:type="dxa"/>
            </w:tcMar>
          </w:tcPr>
          <w:p w14:paraId="66F02330">
            <w:pPr>
              <w:keepNext w:val="0"/>
              <w:keepLines w:val="0"/>
              <w:widowControl/>
              <w:suppressLineNumbers w:val="0"/>
              <w:spacing w:before="0" w:beforeAutospacing="0" w:after="0" w:afterAutospacing="0" w:line="288" w:lineRule="auto"/>
              <w:ind w:left="0" w:right="0"/>
              <w:rPr>
                <w:rFonts w:hint="default" w:ascii="宋体" w:hAnsi="宋体" w:eastAsia="宋体" w:cs="宋体"/>
                <w:sz w:val="22"/>
              </w:rPr>
            </w:pPr>
            <w:r>
              <w:rPr>
                <w:rFonts w:hint="eastAsia" w:ascii="宋体" w:hAnsi="宋体" w:eastAsia="宋体" w:cs="宋体"/>
                <w:sz w:val="22"/>
              </w:rPr>
              <w:t>合同金额、履约期限、核心服务/交付内容、约定标准</w:t>
            </w:r>
          </w:p>
        </w:tc>
      </w:tr>
      <w:tr w14:paraId="76C0D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67" w:hRule="atLeast"/>
        </w:trPr>
        <w:tc>
          <w:tcPr>
            <w:tcW w:w="2468" w:type="dxa"/>
            <w:tcMar>
              <w:top w:w="60" w:type="dxa"/>
              <w:left w:w="120" w:type="dxa"/>
              <w:bottom w:w="30" w:type="dxa"/>
              <w:right w:w="120" w:type="dxa"/>
            </w:tcMar>
            <w:vAlign w:val="center"/>
          </w:tcPr>
          <w:p w14:paraId="1A7FEAF0">
            <w:pPr>
              <w:keepNext w:val="0"/>
              <w:keepLines w:val="0"/>
              <w:widowControl/>
              <w:suppressLineNumbers w:val="0"/>
              <w:spacing w:before="0" w:beforeAutospacing="0" w:after="0" w:afterAutospacing="0" w:line="288" w:lineRule="auto"/>
              <w:ind w:left="0" w:right="0"/>
              <w:jc w:val="center"/>
              <w:rPr>
                <w:rFonts w:hint="default" w:ascii="宋体" w:hAnsi="宋体" w:eastAsia="宋体" w:cs="宋体"/>
                <w:sz w:val="22"/>
              </w:rPr>
            </w:pPr>
            <w:r>
              <w:rPr>
                <w:rFonts w:hint="eastAsia" w:ascii="宋体" w:hAnsi="宋体" w:eastAsia="宋体" w:cs="宋体"/>
                <w:sz w:val="22"/>
              </w:rPr>
              <w:t>验收日期/地点</w:t>
            </w:r>
          </w:p>
        </w:tc>
        <w:tc>
          <w:tcPr>
            <w:tcW w:w="5991" w:type="dxa"/>
            <w:tcMar>
              <w:top w:w="60" w:type="dxa"/>
              <w:left w:w="120" w:type="dxa"/>
              <w:bottom w:w="30" w:type="dxa"/>
              <w:right w:w="120" w:type="dxa"/>
            </w:tcMar>
          </w:tcPr>
          <w:p w14:paraId="3F6C4548">
            <w:pPr>
              <w:keepNext w:val="0"/>
              <w:keepLines w:val="0"/>
              <w:widowControl/>
              <w:suppressLineNumbers w:val="0"/>
              <w:spacing w:before="0" w:beforeAutospacing="0" w:after="0" w:afterAutospacing="0" w:line="288" w:lineRule="auto"/>
              <w:ind w:left="0" w:right="0"/>
              <w:rPr>
                <w:rFonts w:hint="default" w:ascii="宋体" w:hAnsi="宋体" w:eastAsia="宋体" w:cs="宋体"/>
                <w:sz w:val="22"/>
              </w:rPr>
            </w:pPr>
            <w:r>
              <w:rPr>
                <w:rFonts w:hint="eastAsia" w:ascii="宋体" w:hAnsi="宋体" w:eastAsia="宋体" w:cs="宋体"/>
                <w:sz w:val="22"/>
              </w:rPr>
              <w:t>日期： 年   月  日  地点： 西安市</w:t>
            </w:r>
          </w:p>
        </w:tc>
      </w:tr>
      <w:tr w14:paraId="6E124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48" w:hRule="atLeast"/>
        </w:trPr>
        <w:tc>
          <w:tcPr>
            <w:tcW w:w="2468" w:type="dxa"/>
            <w:tcMar>
              <w:top w:w="60" w:type="dxa"/>
              <w:left w:w="120" w:type="dxa"/>
              <w:bottom w:w="30" w:type="dxa"/>
              <w:right w:w="120" w:type="dxa"/>
            </w:tcMar>
            <w:vAlign w:val="center"/>
          </w:tcPr>
          <w:p w14:paraId="1419A4E2">
            <w:pPr>
              <w:keepNext w:val="0"/>
              <w:keepLines w:val="0"/>
              <w:widowControl/>
              <w:suppressLineNumbers w:val="0"/>
              <w:spacing w:before="0" w:beforeAutospacing="0" w:after="0" w:afterAutospacing="0" w:line="288" w:lineRule="auto"/>
              <w:ind w:left="0" w:right="0"/>
              <w:jc w:val="center"/>
              <w:rPr>
                <w:rFonts w:hint="default" w:ascii="宋体" w:hAnsi="宋体" w:eastAsia="宋体" w:cs="宋体"/>
                <w:sz w:val="22"/>
              </w:rPr>
            </w:pPr>
            <w:r>
              <w:rPr>
                <w:rFonts w:hint="eastAsia" w:ascii="宋体" w:hAnsi="宋体" w:eastAsia="宋体" w:cs="宋体"/>
                <w:sz w:val="22"/>
              </w:rPr>
              <w:t>验收依据</w:t>
            </w:r>
          </w:p>
        </w:tc>
        <w:tc>
          <w:tcPr>
            <w:tcW w:w="5991" w:type="dxa"/>
            <w:tcMar>
              <w:top w:w="60" w:type="dxa"/>
              <w:left w:w="120" w:type="dxa"/>
              <w:bottom w:w="30" w:type="dxa"/>
              <w:right w:w="120" w:type="dxa"/>
            </w:tcMar>
          </w:tcPr>
          <w:p w14:paraId="434E005F">
            <w:pPr>
              <w:keepNext w:val="0"/>
              <w:keepLines w:val="0"/>
              <w:widowControl/>
              <w:suppressLineNumbers w:val="0"/>
              <w:spacing w:before="0" w:beforeAutospacing="0" w:after="0" w:afterAutospacing="0" w:line="288" w:lineRule="auto"/>
              <w:ind w:left="0" w:right="0"/>
              <w:rPr>
                <w:rFonts w:hint="default" w:ascii="宋体" w:hAnsi="宋体" w:eastAsia="宋体" w:cs="宋体"/>
                <w:sz w:val="22"/>
              </w:rPr>
            </w:pPr>
            <w:r>
              <w:rPr>
                <w:rFonts w:hint="eastAsia" w:ascii="宋体" w:hAnsi="宋体" w:eastAsia="宋体" w:cs="宋体"/>
                <w:sz w:val="22"/>
              </w:rPr>
              <w:t>政府采购文件、合同条款、国家/行业技术标准、履约验收方案</w:t>
            </w:r>
          </w:p>
        </w:tc>
      </w:tr>
      <w:tr w14:paraId="01F00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67" w:hRule="atLeast"/>
        </w:trPr>
        <w:tc>
          <w:tcPr>
            <w:tcW w:w="2468" w:type="dxa"/>
            <w:tcMar>
              <w:top w:w="60" w:type="dxa"/>
              <w:left w:w="120" w:type="dxa"/>
              <w:bottom w:w="30" w:type="dxa"/>
              <w:right w:w="120" w:type="dxa"/>
            </w:tcMar>
            <w:vAlign w:val="center"/>
          </w:tcPr>
          <w:p w14:paraId="4148A9FA">
            <w:pPr>
              <w:keepNext w:val="0"/>
              <w:keepLines w:val="0"/>
              <w:widowControl/>
              <w:suppressLineNumbers w:val="0"/>
              <w:spacing w:before="0" w:beforeAutospacing="0" w:after="0" w:afterAutospacing="0" w:line="288" w:lineRule="auto"/>
              <w:ind w:left="0" w:right="0"/>
              <w:jc w:val="center"/>
              <w:rPr>
                <w:rFonts w:hint="default" w:ascii="宋体" w:hAnsi="宋体" w:eastAsia="宋体" w:cs="宋体"/>
                <w:sz w:val="22"/>
              </w:rPr>
            </w:pPr>
            <w:r>
              <w:rPr>
                <w:rFonts w:hint="eastAsia" w:ascii="宋体" w:hAnsi="宋体" w:eastAsia="宋体" w:cs="宋体"/>
                <w:sz w:val="22"/>
              </w:rPr>
              <w:t>验收过程简述</w:t>
            </w:r>
          </w:p>
        </w:tc>
        <w:tc>
          <w:tcPr>
            <w:tcW w:w="5991" w:type="dxa"/>
            <w:tcMar>
              <w:top w:w="60" w:type="dxa"/>
              <w:left w:w="120" w:type="dxa"/>
              <w:bottom w:w="30" w:type="dxa"/>
              <w:right w:w="120" w:type="dxa"/>
            </w:tcMar>
          </w:tcPr>
          <w:p w14:paraId="252F8910">
            <w:pPr>
              <w:keepNext w:val="0"/>
              <w:keepLines w:val="0"/>
              <w:widowControl/>
              <w:suppressLineNumbers w:val="0"/>
              <w:spacing w:before="0" w:beforeAutospacing="0" w:after="0" w:afterAutospacing="0" w:line="288" w:lineRule="auto"/>
              <w:ind w:left="0" w:right="0"/>
              <w:jc w:val="center"/>
              <w:rPr>
                <w:rFonts w:hint="default" w:ascii="宋体" w:hAnsi="宋体" w:eastAsia="宋体" w:cs="宋体"/>
                <w:sz w:val="22"/>
              </w:rPr>
            </w:pPr>
            <w:r>
              <w:rPr>
                <w:rFonts w:hint="eastAsia" w:ascii="宋体" w:hAnsi="宋体" w:eastAsia="宋体" w:cs="宋体"/>
                <w:sz w:val="22"/>
              </w:rPr>
              <w:t>资料审查、现场核验、检测试运行等实施情况</w:t>
            </w:r>
          </w:p>
        </w:tc>
      </w:tr>
      <w:tr w14:paraId="70502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70" w:hRule="atLeast"/>
        </w:trPr>
        <w:tc>
          <w:tcPr>
            <w:tcW w:w="2468" w:type="dxa"/>
            <w:tcMar>
              <w:top w:w="60" w:type="dxa"/>
              <w:left w:w="120" w:type="dxa"/>
              <w:bottom w:w="30" w:type="dxa"/>
              <w:right w:w="120" w:type="dxa"/>
            </w:tcMar>
            <w:vAlign w:val="center"/>
          </w:tcPr>
          <w:p w14:paraId="1C98E95B">
            <w:pPr>
              <w:keepNext w:val="0"/>
              <w:keepLines w:val="0"/>
              <w:widowControl/>
              <w:suppressLineNumbers w:val="0"/>
              <w:spacing w:before="0" w:beforeAutospacing="0" w:after="0" w:afterAutospacing="0" w:line="288" w:lineRule="auto"/>
              <w:ind w:left="0" w:right="0" w:firstLine="440" w:firstLineChars="200"/>
              <w:rPr>
                <w:rFonts w:hint="default" w:ascii="宋体" w:hAnsi="宋体" w:eastAsia="宋体" w:cs="宋体"/>
                <w:sz w:val="22"/>
              </w:rPr>
            </w:pPr>
            <w:r>
              <w:rPr>
                <w:rFonts w:hint="eastAsia" w:ascii="宋体" w:hAnsi="宋体" w:eastAsia="宋体" w:cs="宋体"/>
                <w:sz w:val="22"/>
              </w:rPr>
              <w:t>验收内容评价</w:t>
            </w:r>
          </w:p>
        </w:tc>
        <w:tc>
          <w:tcPr>
            <w:tcW w:w="5991" w:type="dxa"/>
            <w:tcMar>
              <w:top w:w="60" w:type="dxa"/>
              <w:left w:w="120" w:type="dxa"/>
              <w:bottom w:w="30" w:type="dxa"/>
              <w:right w:w="120" w:type="dxa"/>
            </w:tcMar>
          </w:tcPr>
          <w:p w14:paraId="5C4B38F3">
            <w:pPr>
              <w:keepNext w:val="0"/>
              <w:keepLines w:val="0"/>
              <w:widowControl/>
              <w:suppressLineNumbers w:val="0"/>
              <w:spacing w:before="0" w:beforeAutospacing="0" w:after="0" w:afterAutospacing="0" w:line="288" w:lineRule="auto"/>
              <w:ind w:left="0" w:right="0"/>
              <w:jc w:val="center"/>
              <w:rPr>
                <w:rFonts w:hint="default" w:ascii="宋体" w:hAnsi="宋体" w:eastAsia="宋体" w:cs="宋体"/>
                <w:sz w:val="22"/>
              </w:rPr>
            </w:pPr>
            <w:r>
              <w:rPr>
                <w:rFonts w:hint="eastAsia" w:ascii="宋体" w:hAnsi="宋体" w:eastAsia="宋体" w:cs="宋体"/>
                <w:sz w:val="22"/>
              </w:rPr>
              <w:t>对照验收内容逐项列明：达标情况、履约完成度、</w:t>
            </w:r>
          </w:p>
          <w:p w14:paraId="25332F26">
            <w:pPr>
              <w:keepNext w:val="0"/>
              <w:keepLines w:val="0"/>
              <w:widowControl/>
              <w:suppressLineNumbers w:val="0"/>
              <w:spacing w:before="0" w:beforeAutospacing="0" w:after="0" w:afterAutospacing="0" w:line="288" w:lineRule="auto"/>
              <w:ind w:left="0" w:right="0"/>
              <w:jc w:val="center"/>
              <w:rPr>
                <w:rFonts w:hint="default" w:ascii="宋体" w:hAnsi="宋体" w:eastAsia="宋体" w:cs="宋体"/>
                <w:sz w:val="22"/>
              </w:rPr>
            </w:pPr>
            <w:r>
              <w:rPr>
                <w:rFonts w:hint="eastAsia" w:ascii="宋体" w:hAnsi="宋体" w:eastAsia="宋体" w:cs="宋体"/>
                <w:sz w:val="22"/>
              </w:rPr>
              <w:t>符合性评价</w:t>
            </w:r>
          </w:p>
        </w:tc>
      </w:tr>
      <w:tr w14:paraId="34EB4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67" w:hRule="atLeast"/>
        </w:trPr>
        <w:tc>
          <w:tcPr>
            <w:tcW w:w="2468" w:type="dxa"/>
            <w:tcMar>
              <w:top w:w="60" w:type="dxa"/>
              <w:left w:w="120" w:type="dxa"/>
              <w:bottom w:w="30" w:type="dxa"/>
              <w:right w:w="120" w:type="dxa"/>
            </w:tcMar>
            <w:vAlign w:val="center"/>
          </w:tcPr>
          <w:p w14:paraId="17892A77">
            <w:pPr>
              <w:keepNext w:val="0"/>
              <w:keepLines w:val="0"/>
              <w:widowControl/>
              <w:suppressLineNumbers w:val="0"/>
              <w:spacing w:before="0" w:beforeAutospacing="0" w:after="0" w:afterAutospacing="0" w:line="288" w:lineRule="auto"/>
              <w:ind w:left="0" w:right="0"/>
              <w:jc w:val="center"/>
              <w:rPr>
                <w:rFonts w:hint="default" w:ascii="宋体" w:hAnsi="宋体" w:eastAsia="宋体" w:cs="宋体"/>
                <w:sz w:val="22"/>
              </w:rPr>
            </w:pPr>
            <w:r>
              <w:rPr>
                <w:rFonts w:hint="eastAsia" w:ascii="宋体" w:hAnsi="宋体" w:eastAsia="宋体" w:cs="宋体"/>
                <w:sz w:val="22"/>
              </w:rPr>
              <w:t>存在问题列明</w:t>
            </w:r>
          </w:p>
        </w:tc>
        <w:tc>
          <w:tcPr>
            <w:tcW w:w="5991" w:type="dxa"/>
            <w:tcMar>
              <w:top w:w="60" w:type="dxa"/>
              <w:left w:w="120" w:type="dxa"/>
              <w:bottom w:w="30" w:type="dxa"/>
              <w:right w:w="120" w:type="dxa"/>
            </w:tcMar>
          </w:tcPr>
          <w:p w14:paraId="7152649F">
            <w:pPr>
              <w:keepNext w:val="0"/>
              <w:keepLines w:val="0"/>
              <w:widowControl/>
              <w:suppressLineNumbers w:val="0"/>
              <w:spacing w:before="0" w:beforeAutospacing="0" w:after="0" w:afterAutospacing="0" w:line="288" w:lineRule="auto"/>
              <w:ind w:left="0" w:right="0"/>
              <w:jc w:val="center"/>
              <w:rPr>
                <w:rFonts w:hint="default" w:ascii="宋体" w:hAnsi="宋体" w:eastAsia="宋体" w:cs="宋体"/>
                <w:sz w:val="22"/>
              </w:rPr>
            </w:pPr>
            <w:r>
              <w:rPr>
                <w:rFonts w:hint="eastAsia" w:ascii="宋体" w:hAnsi="宋体" w:eastAsia="宋体" w:cs="宋体"/>
                <w:sz w:val="22"/>
              </w:rPr>
              <w:t>履约未达标事项、资料缺漏等问题</w:t>
            </w:r>
          </w:p>
        </w:tc>
      </w:tr>
      <w:tr w14:paraId="592F5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67" w:hRule="atLeast"/>
        </w:trPr>
        <w:tc>
          <w:tcPr>
            <w:tcW w:w="2468" w:type="dxa"/>
            <w:tcMar>
              <w:top w:w="60" w:type="dxa"/>
              <w:left w:w="120" w:type="dxa"/>
              <w:bottom w:w="30" w:type="dxa"/>
              <w:right w:w="120" w:type="dxa"/>
            </w:tcMar>
            <w:vAlign w:val="center"/>
          </w:tcPr>
          <w:p w14:paraId="21EAA246">
            <w:pPr>
              <w:keepNext w:val="0"/>
              <w:keepLines w:val="0"/>
              <w:widowControl/>
              <w:suppressLineNumbers w:val="0"/>
              <w:spacing w:before="0" w:beforeAutospacing="0" w:after="0" w:afterAutospacing="0" w:line="288" w:lineRule="auto"/>
              <w:ind w:left="0" w:right="0"/>
              <w:jc w:val="center"/>
              <w:rPr>
                <w:rFonts w:hint="default" w:ascii="宋体" w:hAnsi="宋体" w:eastAsia="宋体" w:cs="宋体"/>
                <w:sz w:val="22"/>
              </w:rPr>
            </w:pPr>
            <w:r>
              <w:rPr>
                <w:rFonts w:hint="eastAsia" w:ascii="宋体" w:hAnsi="宋体" w:eastAsia="宋体" w:cs="宋体"/>
                <w:sz w:val="22"/>
              </w:rPr>
              <w:t>整改处理建议</w:t>
            </w:r>
          </w:p>
        </w:tc>
        <w:tc>
          <w:tcPr>
            <w:tcW w:w="5991" w:type="dxa"/>
            <w:tcMar>
              <w:top w:w="60" w:type="dxa"/>
              <w:left w:w="120" w:type="dxa"/>
              <w:bottom w:w="30" w:type="dxa"/>
              <w:right w:w="120" w:type="dxa"/>
            </w:tcMar>
          </w:tcPr>
          <w:p w14:paraId="4730C042">
            <w:pPr>
              <w:keepNext w:val="0"/>
              <w:keepLines w:val="0"/>
              <w:widowControl/>
              <w:suppressLineNumbers w:val="0"/>
              <w:spacing w:before="0" w:beforeAutospacing="0" w:after="0" w:afterAutospacing="0" w:line="288" w:lineRule="auto"/>
              <w:ind w:left="0" w:right="0"/>
              <w:jc w:val="center"/>
              <w:rPr>
                <w:rFonts w:hint="default" w:ascii="宋体" w:hAnsi="宋体" w:eastAsia="宋体" w:cs="宋体"/>
                <w:sz w:val="22"/>
              </w:rPr>
            </w:pPr>
            <w:r>
              <w:rPr>
                <w:rFonts w:hint="eastAsia" w:ascii="宋体" w:hAnsi="宋体" w:eastAsia="宋体" w:cs="宋体"/>
                <w:sz w:val="22"/>
              </w:rPr>
              <w:t>限期整改、返工重做、扣款处理、无需整改等明确意见</w:t>
            </w:r>
          </w:p>
        </w:tc>
      </w:tr>
      <w:tr w14:paraId="54B04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67" w:hRule="atLeast"/>
        </w:trPr>
        <w:tc>
          <w:tcPr>
            <w:tcW w:w="2468" w:type="dxa"/>
            <w:tcMar>
              <w:top w:w="60" w:type="dxa"/>
              <w:left w:w="120" w:type="dxa"/>
              <w:bottom w:w="30" w:type="dxa"/>
              <w:right w:w="120" w:type="dxa"/>
            </w:tcMar>
            <w:vAlign w:val="center"/>
          </w:tcPr>
          <w:p w14:paraId="626A08BF">
            <w:pPr>
              <w:keepNext w:val="0"/>
              <w:keepLines w:val="0"/>
              <w:widowControl/>
              <w:suppressLineNumbers w:val="0"/>
              <w:spacing w:before="0" w:beforeAutospacing="0" w:after="0" w:afterAutospacing="0" w:line="288" w:lineRule="auto"/>
              <w:ind w:left="0" w:right="0"/>
              <w:jc w:val="center"/>
              <w:rPr>
                <w:rFonts w:hint="default" w:ascii="宋体" w:hAnsi="宋体" w:eastAsia="宋体" w:cs="宋体"/>
                <w:sz w:val="22"/>
              </w:rPr>
            </w:pPr>
            <w:r>
              <w:rPr>
                <w:rFonts w:hint="eastAsia" w:ascii="宋体" w:hAnsi="宋体" w:eastAsia="宋体" w:cs="宋体"/>
                <w:sz w:val="22"/>
              </w:rPr>
              <w:t>验收结论</w:t>
            </w:r>
          </w:p>
        </w:tc>
        <w:tc>
          <w:tcPr>
            <w:tcW w:w="5991" w:type="dxa"/>
            <w:tcMar>
              <w:top w:w="60" w:type="dxa"/>
              <w:left w:w="120" w:type="dxa"/>
              <w:bottom w:w="30" w:type="dxa"/>
              <w:right w:w="120" w:type="dxa"/>
            </w:tcMar>
          </w:tcPr>
          <w:p w14:paraId="6CF982FA">
            <w:pPr>
              <w:keepNext w:val="0"/>
              <w:keepLines w:val="0"/>
              <w:widowControl/>
              <w:suppressLineNumbers w:val="0"/>
              <w:spacing w:before="0" w:beforeAutospacing="0" w:after="0" w:afterAutospacing="0" w:line="288" w:lineRule="auto"/>
              <w:ind w:left="0" w:right="0"/>
              <w:jc w:val="center"/>
              <w:rPr>
                <w:rFonts w:hint="default" w:ascii="宋体" w:hAnsi="宋体" w:eastAsia="宋体" w:cs="宋体"/>
                <w:sz w:val="22"/>
              </w:rPr>
            </w:pPr>
            <w:r>
              <w:rPr>
                <w:rFonts w:hint="eastAsia" w:ascii="宋体" w:hAnsi="宋体" w:eastAsia="宋体" w:cs="宋体"/>
                <w:sz w:val="22"/>
              </w:rPr>
              <w:t>□ 合格 □ 不合格</w:t>
            </w:r>
          </w:p>
        </w:tc>
      </w:tr>
      <w:tr w14:paraId="327FC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53" w:hRule="atLeast"/>
        </w:trPr>
        <w:tc>
          <w:tcPr>
            <w:tcW w:w="2468" w:type="dxa"/>
            <w:tcMar>
              <w:top w:w="60" w:type="dxa"/>
              <w:left w:w="120" w:type="dxa"/>
              <w:bottom w:w="30" w:type="dxa"/>
              <w:right w:w="120" w:type="dxa"/>
            </w:tcMar>
            <w:vAlign w:val="center"/>
          </w:tcPr>
          <w:p w14:paraId="0B0CEBB6">
            <w:pPr>
              <w:keepNext w:val="0"/>
              <w:keepLines w:val="0"/>
              <w:widowControl/>
              <w:suppressLineNumbers w:val="0"/>
              <w:spacing w:before="0" w:beforeAutospacing="0" w:after="0" w:afterAutospacing="0" w:line="288" w:lineRule="auto"/>
              <w:ind w:left="0" w:right="0"/>
              <w:jc w:val="center"/>
              <w:rPr>
                <w:rFonts w:hint="default" w:ascii="宋体" w:hAnsi="宋体" w:eastAsia="宋体" w:cs="宋体"/>
                <w:sz w:val="22"/>
              </w:rPr>
            </w:pPr>
            <w:r>
              <w:rPr>
                <w:rFonts w:hint="eastAsia" w:ascii="宋体" w:hAnsi="宋体" w:eastAsia="宋体" w:cs="宋体"/>
                <w:sz w:val="22"/>
              </w:rPr>
              <w:t>签字确认</w:t>
            </w:r>
          </w:p>
        </w:tc>
        <w:tc>
          <w:tcPr>
            <w:tcW w:w="5991" w:type="dxa"/>
            <w:tcMar>
              <w:top w:w="60" w:type="dxa"/>
              <w:left w:w="120" w:type="dxa"/>
              <w:bottom w:w="30" w:type="dxa"/>
              <w:right w:w="120" w:type="dxa"/>
            </w:tcMar>
          </w:tcPr>
          <w:p w14:paraId="6E211882">
            <w:pPr>
              <w:keepNext w:val="0"/>
              <w:keepLines w:val="0"/>
              <w:widowControl/>
              <w:suppressLineNumbers w:val="0"/>
              <w:spacing w:before="0" w:beforeAutospacing="0" w:after="0" w:afterAutospacing="0" w:line="288" w:lineRule="auto"/>
              <w:ind w:left="0" w:right="0"/>
              <w:jc w:val="center"/>
              <w:rPr>
                <w:rFonts w:hint="default" w:ascii="宋体" w:hAnsi="宋体" w:eastAsia="宋体" w:cs="宋体"/>
                <w:sz w:val="22"/>
              </w:rPr>
            </w:pPr>
            <w:r>
              <w:rPr>
                <w:rFonts w:hint="eastAsia" w:ascii="宋体" w:hAnsi="宋体" w:eastAsia="宋体" w:cs="宋体"/>
                <w:sz w:val="22"/>
              </w:rPr>
              <w:t>验收小组全体成员签字：________________________​</w:t>
            </w:r>
          </w:p>
          <w:p w14:paraId="1EC16537">
            <w:pPr>
              <w:keepNext w:val="0"/>
              <w:keepLines w:val="0"/>
              <w:widowControl/>
              <w:suppressLineNumbers w:val="0"/>
              <w:spacing w:before="0" w:beforeAutospacing="0" w:after="0" w:afterAutospacing="0" w:line="288" w:lineRule="auto"/>
              <w:ind w:left="0" w:right="0"/>
              <w:jc w:val="center"/>
              <w:rPr>
                <w:rFonts w:hint="default" w:ascii="宋体" w:hAnsi="宋体" w:eastAsia="宋体" w:cs="宋体"/>
                <w:sz w:val="22"/>
              </w:rPr>
            </w:pPr>
            <w:r>
              <w:rPr>
                <w:rFonts w:hint="eastAsia" w:ascii="宋体" w:hAnsi="宋体" w:eastAsia="宋体" w:cs="宋体"/>
                <w:sz w:val="22"/>
              </w:rPr>
              <w:t>供应商（盖章）：________________________</w:t>
            </w:r>
          </w:p>
          <w:p w14:paraId="733BF8C9">
            <w:pPr>
              <w:keepNext w:val="0"/>
              <w:keepLines w:val="0"/>
              <w:widowControl/>
              <w:suppressLineNumbers w:val="0"/>
              <w:spacing w:before="0" w:beforeAutospacing="0" w:after="0" w:afterAutospacing="0" w:line="288" w:lineRule="auto"/>
              <w:ind w:left="0" w:right="0" w:firstLine="660" w:firstLineChars="300"/>
              <w:rPr>
                <w:rFonts w:hint="default" w:ascii="宋体" w:hAnsi="宋体" w:eastAsia="宋体" w:cs="宋体"/>
                <w:sz w:val="22"/>
              </w:rPr>
            </w:pPr>
            <w:r>
              <w:rPr>
                <w:rFonts w:hint="eastAsia" w:ascii="宋体" w:hAnsi="宋体" w:eastAsia="宋体" w:cs="宋体"/>
                <w:sz w:val="22"/>
              </w:rPr>
              <w:t>采购人（盖章）：________________________​</w:t>
            </w:r>
          </w:p>
          <w:p w14:paraId="1265A3FE">
            <w:pPr>
              <w:keepNext w:val="0"/>
              <w:keepLines w:val="0"/>
              <w:widowControl/>
              <w:suppressLineNumbers w:val="0"/>
              <w:spacing w:before="0" w:beforeAutospacing="0" w:after="0" w:afterAutospacing="0" w:line="288" w:lineRule="auto"/>
              <w:ind w:left="0" w:right="0"/>
              <w:jc w:val="center"/>
              <w:rPr>
                <w:rFonts w:hint="default" w:ascii="宋体" w:hAnsi="宋体" w:eastAsia="宋体" w:cs="宋体"/>
                <w:sz w:val="22"/>
              </w:rPr>
            </w:pPr>
          </w:p>
        </w:tc>
      </w:tr>
      <w:tr w14:paraId="75911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72" w:hRule="atLeast"/>
        </w:trPr>
        <w:tc>
          <w:tcPr>
            <w:tcW w:w="2468" w:type="dxa"/>
            <w:tcMar>
              <w:top w:w="60" w:type="dxa"/>
              <w:left w:w="120" w:type="dxa"/>
              <w:bottom w:w="30" w:type="dxa"/>
              <w:right w:w="120" w:type="dxa"/>
            </w:tcMar>
          </w:tcPr>
          <w:p w14:paraId="5169018D">
            <w:pPr>
              <w:keepNext w:val="0"/>
              <w:keepLines w:val="0"/>
              <w:widowControl/>
              <w:suppressLineNumbers w:val="0"/>
              <w:spacing w:before="0" w:beforeAutospacing="0" w:after="0" w:afterAutospacing="0" w:line="288" w:lineRule="auto"/>
              <w:ind w:left="0" w:right="0"/>
              <w:jc w:val="center"/>
              <w:rPr>
                <w:rFonts w:hint="default" w:ascii="宋体" w:hAnsi="宋体" w:eastAsia="宋体" w:cs="宋体"/>
                <w:sz w:val="22"/>
              </w:rPr>
            </w:pPr>
            <w:r>
              <w:rPr>
                <w:rFonts w:hint="eastAsia" w:ascii="宋体" w:hAnsi="宋体" w:eastAsia="宋体" w:cs="宋体"/>
                <w:sz w:val="22"/>
              </w:rPr>
              <w:t>备注</w:t>
            </w:r>
          </w:p>
        </w:tc>
        <w:tc>
          <w:tcPr>
            <w:tcW w:w="5991" w:type="dxa"/>
            <w:tcMar>
              <w:top w:w="60" w:type="dxa"/>
              <w:left w:w="120" w:type="dxa"/>
              <w:bottom w:w="30" w:type="dxa"/>
              <w:right w:w="120" w:type="dxa"/>
            </w:tcMar>
          </w:tcPr>
          <w:p w14:paraId="5F65BCA4">
            <w:pPr>
              <w:keepNext w:val="0"/>
              <w:keepLines w:val="0"/>
              <w:widowControl/>
              <w:suppressLineNumbers w:val="0"/>
              <w:spacing w:before="0" w:beforeAutospacing="0" w:after="0" w:afterAutospacing="0" w:line="288" w:lineRule="auto"/>
              <w:ind w:left="0" w:right="0"/>
              <w:jc w:val="center"/>
              <w:rPr>
                <w:rFonts w:hint="default" w:ascii="宋体" w:hAnsi="宋体" w:eastAsia="宋体" w:cs="宋体"/>
                <w:sz w:val="22"/>
              </w:rPr>
            </w:pPr>
          </w:p>
        </w:tc>
      </w:tr>
    </w:tbl>
    <w:p w14:paraId="5E8DB3C9">
      <w:pPr>
        <w:pStyle w:val="12"/>
        <w:ind w:left="0" w:leftChars="0" w:firstLine="0" w:firstLineChars="0"/>
        <w:rPr>
          <w:rFonts w:hint="eastAsia" w:ascii="仿宋" w:hAnsi="仿宋" w:eastAsia="仿宋" w:cs="仿宋"/>
        </w:rPr>
      </w:pPr>
    </w:p>
    <w:sectPr>
      <w:headerReference r:id="rId5" w:type="default"/>
      <w:footerReference r:id="rId6" w:type="default"/>
      <w:pgSz w:w="11906" w:h="16838"/>
      <w:pgMar w:top="1440" w:right="1800" w:bottom="1440" w:left="1800" w:header="851" w:footer="992" w:gutter="0"/>
      <w:pgNumType w:fmt="numberInDash"/>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SimSong">
    <w:altName w:val="宋体"/>
    <w:panose1 w:val="02020300000000000000"/>
    <w:charset w:val="86"/>
    <w:family w:val="auto"/>
    <w:pitch w:val="default"/>
    <w:sig w:usb0="00000000" w:usb1="00000000" w:usb2="00000016" w:usb3="00000000" w:csb0="0004000D"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0FF8A">
    <w:pPr>
      <w:widowControl w:val="0"/>
      <w:snapToGrid w:val="0"/>
      <w:jc w:val="left"/>
      <w:rPr>
        <w:rFonts w:ascii="Calibri" w:hAnsi="Calibri" w:eastAsia="宋体" w:cs="Times New Roman"/>
        <w:kern w:val="2"/>
        <w:sz w:val="18"/>
        <w:szCs w:val="18"/>
        <w:lang w:val="en-US" w:eastAsia="zh-CN" w:bidi="ar-SA"/>
      </w:rPr>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47A2B5">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7D47A2B5">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E7139">
    <w:pPr>
      <w:spacing w:before="12" w:line="196" w:lineRule="auto"/>
      <w:rPr>
        <w:rFonts w:ascii="宋体" w:hAnsi="宋体" w:eastAsia="宋体" w:cs="宋体"/>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2ViYzgzYzQyMGIyYjJjYjcxZTNlYzBlMzBmOWMyM2IifQ=="/>
    <w:docVar w:name="KSO_WPS_MARK_KEY" w:val="4cb4554f-92ed-4c49-874d-920295c38672"/>
  </w:docVars>
  <w:rsids>
    <w:rsidRoot w:val="00000000"/>
    <w:rsid w:val="00417EF4"/>
    <w:rsid w:val="0058523E"/>
    <w:rsid w:val="005D4603"/>
    <w:rsid w:val="00901D05"/>
    <w:rsid w:val="00F02525"/>
    <w:rsid w:val="01B415A5"/>
    <w:rsid w:val="01EE4BDA"/>
    <w:rsid w:val="02033DCA"/>
    <w:rsid w:val="0252745F"/>
    <w:rsid w:val="02851E9C"/>
    <w:rsid w:val="02AF329E"/>
    <w:rsid w:val="02B3532A"/>
    <w:rsid w:val="02B82495"/>
    <w:rsid w:val="02DF29A5"/>
    <w:rsid w:val="02E209F4"/>
    <w:rsid w:val="03130FFF"/>
    <w:rsid w:val="03192A63"/>
    <w:rsid w:val="034824D3"/>
    <w:rsid w:val="0371584F"/>
    <w:rsid w:val="04B63B3E"/>
    <w:rsid w:val="04B94AE2"/>
    <w:rsid w:val="057743B8"/>
    <w:rsid w:val="05AB7BBE"/>
    <w:rsid w:val="06514C09"/>
    <w:rsid w:val="067A4ADB"/>
    <w:rsid w:val="06CD79A1"/>
    <w:rsid w:val="073A744C"/>
    <w:rsid w:val="07BB67DE"/>
    <w:rsid w:val="07C33549"/>
    <w:rsid w:val="07EE6482"/>
    <w:rsid w:val="0808579C"/>
    <w:rsid w:val="088E1943"/>
    <w:rsid w:val="08C6543B"/>
    <w:rsid w:val="08F16406"/>
    <w:rsid w:val="09002BCF"/>
    <w:rsid w:val="090917CB"/>
    <w:rsid w:val="093F343F"/>
    <w:rsid w:val="09DC5F4C"/>
    <w:rsid w:val="0A780FD3"/>
    <w:rsid w:val="0ACA6D38"/>
    <w:rsid w:val="0AED2C3C"/>
    <w:rsid w:val="0B261286"/>
    <w:rsid w:val="0B3C19E4"/>
    <w:rsid w:val="0B6158EF"/>
    <w:rsid w:val="0B8E420A"/>
    <w:rsid w:val="0BB6167C"/>
    <w:rsid w:val="0BC55E7E"/>
    <w:rsid w:val="0BCD088E"/>
    <w:rsid w:val="0C234952"/>
    <w:rsid w:val="0C2475E3"/>
    <w:rsid w:val="0C2623F8"/>
    <w:rsid w:val="0C686809"/>
    <w:rsid w:val="0D0C6C6B"/>
    <w:rsid w:val="0D3704F7"/>
    <w:rsid w:val="0D8F0AE7"/>
    <w:rsid w:val="0DA009B0"/>
    <w:rsid w:val="0DB13833"/>
    <w:rsid w:val="0DB77176"/>
    <w:rsid w:val="0DBF455A"/>
    <w:rsid w:val="0E4C708F"/>
    <w:rsid w:val="0E75479D"/>
    <w:rsid w:val="0EE52393"/>
    <w:rsid w:val="0EFC3F54"/>
    <w:rsid w:val="0F5743B3"/>
    <w:rsid w:val="1003403F"/>
    <w:rsid w:val="102430E3"/>
    <w:rsid w:val="10D12BCF"/>
    <w:rsid w:val="10D4204A"/>
    <w:rsid w:val="10F60887"/>
    <w:rsid w:val="112E0021"/>
    <w:rsid w:val="115B2DE0"/>
    <w:rsid w:val="118E6D12"/>
    <w:rsid w:val="11F052D6"/>
    <w:rsid w:val="121D1E44"/>
    <w:rsid w:val="12352A26"/>
    <w:rsid w:val="123E24E6"/>
    <w:rsid w:val="12525F91"/>
    <w:rsid w:val="126D3C74"/>
    <w:rsid w:val="129569F8"/>
    <w:rsid w:val="139919B3"/>
    <w:rsid w:val="13D54EFC"/>
    <w:rsid w:val="13E946D3"/>
    <w:rsid w:val="13EE3A98"/>
    <w:rsid w:val="1404150D"/>
    <w:rsid w:val="145621F4"/>
    <w:rsid w:val="14872D02"/>
    <w:rsid w:val="14922675"/>
    <w:rsid w:val="149F6882"/>
    <w:rsid w:val="152A410D"/>
    <w:rsid w:val="154D29D4"/>
    <w:rsid w:val="15932AFA"/>
    <w:rsid w:val="15932B49"/>
    <w:rsid w:val="15EA64E1"/>
    <w:rsid w:val="162478EF"/>
    <w:rsid w:val="16C17D6C"/>
    <w:rsid w:val="171B557D"/>
    <w:rsid w:val="17343EB7"/>
    <w:rsid w:val="17936E30"/>
    <w:rsid w:val="18002740"/>
    <w:rsid w:val="1820443C"/>
    <w:rsid w:val="18277578"/>
    <w:rsid w:val="187D2982"/>
    <w:rsid w:val="18922CBE"/>
    <w:rsid w:val="18F602DF"/>
    <w:rsid w:val="190909AF"/>
    <w:rsid w:val="193326FD"/>
    <w:rsid w:val="1941466A"/>
    <w:rsid w:val="19701758"/>
    <w:rsid w:val="19A2409B"/>
    <w:rsid w:val="19B061D7"/>
    <w:rsid w:val="19C40040"/>
    <w:rsid w:val="19C71013"/>
    <w:rsid w:val="1A134F38"/>
    <w:rsid w:val="1A345F7C"/>
    <w:rsid w:val="1A3F58F9"/>
    <w:rsid w:val="1AEA2461"/>
    <w:rsid w:val="1B041DF3"/>
    <w:rsid w:val="1B1B306B"/>
    <w:rsid w:val="1B462E07"/>
    <w:rsid w:val="1B6455A3"/>
    <w:rsid w:val="1B7A3E63"/>
    <w:rsid w:val="1B7C407F"/>
    <w:rsid w:val="1B7C704E"/>
    <w:rsid w:val="1C106415"/>
    <w:rsid w:val="1C4A22BA"/>
    <w:rsid w:val="1C5B5A42"/>
    <w:rsid w:val="1C634B6E"/>
    <w:rsid w:val="1C9A338A"/>
    <w:rsid w:val="1D0D1432"/>
    <w:rsid w:val="1D0F1DAA"/>
    <w:rsid w:val="1D1A3FC5"/>
    <w:rsid w:val="1D937669"/>
    <w:rsid w:val="1E2C7696"/>
    <w:rsid w:val="1E841CFD"/>
    <w:rsid w:val="1E864621"/>
    <w:rsid w:val="1EB02141"/>
    <w:rsid w:val="1EBE6F18"/>
    <w:rsid w:val="1EE53CE9"/>
    <w:rsid w:val="1F105BB3"/>
    <w:rsid w:val="1F537BAB"/>
    <w:rsid w:val="1F5E0ACE"/>
    <w:rsid w:val="1F647304"/>
    <w:rsid w:val="20091E0C"/>
    <w:rsid w:val="2072115A"/>
    <w:rsid w:val="207500F4"/>
    <w:rsid w:val="208128F0"/>
    <w:rsid w:val="20A436F6"/>
    <w:rsid w:val="20ED4838"/>
    <w:rsid w:val="20FE42D5"/>
    <w:rsid w:val="21120767"/>
    <w:rsid w:val="213F1C3D"/>
    <w:rsid w:val="215A276C"/>
    <w:rsid w:val="21FE57EE"/>
    <w:rsid w:val="22056B7C"/>
    <w:rsid w:val="22081949"/>
    <w:rsid w:val="225D0766"/>
    <w:rsid w:val="229A1106"/>
    <w:rsid w:val="22CA5FBD"/>
    <w:rsid w:val="231E08D1"/>
    <w:rsid w:val="239D6975"/>
    <w:rsid w:val="23C60E74"/>
    <w:rsid w:val="23CD2672"/>
    <w:rsid w:val="24594F5D"/>
    <w:rsid w:val="24B43DD5"/>
    <w:rsid w:val="24C513B8"/>
    <w:rsid w:val="25145328"/>
    <w:rsid w:val="251C3122"/>
    <w:rsid w:val="258D0CC9"/>
    <w:rsid w:val="259F1D5A"/>
    <w:rsid w:val="25AB0E64"/>
    <w:rsid w:val="25C34D40"/>
    <w:rsid w:val="267E514F"/>
    <w:rsid w:val="268247BC"/>
    <w:rsid w:val="26CD39E1"/>
    <w:rsid w:val="26E054C2"/>
    <w:rsid w:val="27073F71"/>
    <w:rsid w:val="27BB1385"/>
    <w:rsid w:val="27BF3F2A"/>
    <w:rsid w:val="27E5752B"/>
    <w:rsid w:val="27EB6223"/>
    <w:rsid w:val="28192B50"/>
    <w:rsid w:val="28296441"/>
    <w:rsid w:val="283C77D9"/>
    <w:rsid w:val="28600077"/>
    <w:rsid w:val="289C7B0E"/>
    <w:rsid w:val="28BA534D"/>
    <w:rsid w:val="28D23530"/>
    <w:rsid w:val="29380100"/>
    <w:rsid w:val="29CA4EF2"/>
    <w:rsid w:val="29F11AD6"/>
    <w:rsid w:val="2A3C6EB3"/>
    <w:rsid w:val="2A5C36BF"/>
    <w:rsid w:val="2A7D74CC"/>
    <w:rsid w:val="2AB32EED"/>
    <w:rsid w:val="2AE124D7"/>
    <w:rsid w:val="2AFC2DC0"/>
    <w:rsid w:val="2AFE2584"/>
    <w:rsid w:val="2B1E737A"/>
    <w:rsid w:val="2B3F2191"/>
    <w:rsid w:val="2B595843"/>
    <w:rsid w:val="2B691DC8"/>
    <w:rsid w:val="2B834144"/>
    <w:rsid w:val="2BE8029E"/>
    <w:rsid w:val="2C091017"/>
    <w:rsid w:val="2C130885"/>
    <w:rsid w:val="2C42277B"/>
    <w:rsid w:val="2C464019"/>
    <w:rsid w:val="2C490742"/>
    <w:rsid w:val="2C4E0713"/>
    <w:rsid w:val="2C8C2652"/>
    <w:rsid w:val="2CC80066"/>
    <w:rsid w:val="2CF40CE2"/>
    <w:rsid w:val="2D4B3B6D"/>
    <w:rsid w:val="2D605BFF"/>
    <w:rsid w:val="2DC062D6"/>
    <w:rsid w:val="2DD107CD"/>
    <w:rsid w:val="2DDC4BB8"/>
    <w:rsid w:val="2DFE7E03"/>
    <w:rsid w:val="2E287D37"/>
    <w:rsid w:val="2ED35FEE"/>
    <w:rsid w:val="2F4B1A7D"/>
    <w:rsid w:val="2F4F2EEB"/>
    <w:rsid w:val="2F745081"/>
    <w:rsid w:val="2F827DCD"/>
    <w:rsid w:val="2FDB5564"/>
    <w:rsid w:val="2FF63A03"/>
    <w:rsid w:val="2FF817EF"/>
    <w:rsid w:val="301917A7"/>
    <w:rsid w:val="302802A3"/>
    <w:rsid w:val="303947E6"/>
    <w:rsid w:val="30481923"/>
    <w:rsid w:val="30C23E8A"/>
    <w:rsid w:val="31012C04"/>
    <w:rsid w:val="31550DA9"/>
    <w:rsid w:val="318F1FBE"/>
    <w:rsid w:val="31905D36"/>
    <w:rsid w:val="319B6BB5"/>
    <w:rsid w:val="31EA698A"/>
    <w:rsid w:val="31F2254D"/>
    <w:rsid w:val="32002EBC"/>
    <w:rsid w:val="32075FF9"/>
    <w:rsid w:val="32472899"/>
    <w:rsid w:val="3264344B"/>
    <w:rsid w:val="32B1259E"/>
    <w:rsid w:val="32E4458C"/>
    <w:rsid w:val="3333770A"/>
    <w:rsid w:val="33754BBB"/>
    <w:rsid w:val="33835B53"/>
    <w:rsid w:val="33865643"/>
    <w:rsid w:val="33977850"/>
    <w:rsid w:val="339C09C3"/>
    <w:rsid w:val="34253971"/>
    <w:rsid w:val="346E3463"/>
    <w:rsid w:val="348C6C89"/>
    <w:rsid w:val="349124F1"/>
    <w:rsid w:val="34A22009"/>
    <w:rsid w:val="34AC5BA3"/>
    <w:rsid w:val="34EB64D5"/>
    <w:rsid w:val="357F67EE"/>
    <w:rsid w:val="35960D13"/>
    <w:rsid w:val="35A77DEC"/>
    <w:rsid w:val="35B55703"/>
    <w:rsid w:val="35F9034E"/>
    <w:rsid w:val="360867E3"/>
    <w:rsid w:val="36541A28"/>
    <w:rsid w:val="365D0BBE"/>
    <w:rsid w:val="36624145"/>
    <w:rsid w:val="374D4675"/>
    <w:rsid w:val="37781747"/>
    <w:rsid w:val="379245B6"/>
    <w:rsid w:val="37A20571"/>
    <w:rsid w:val="37CE3417"/>
    <w:rsid w:val="37DE04B1"/>
    <w:rsid w:val="38144D5A"/>
    <w:rsid w:val="38266A45"/>
    <w:rsid w:val="38811DD5"/>
    <w:rsid w:val="38855ECC"/>
    <w:rsid w:val="388A7983"/>
    <w:rsid w:val="38B20BCF"/>
    <w:rsid w:val="38BB1228"/>
    <w:rsid w:val="394C2E8B"/>
    <w:rsid w:val="396E2E01"/>
    <w:rsid w:val="39842625"/>
    <w:rsid w:val="39C72511"/>
    <w:rsid w:val="39E62997"/>
    <w:rsid w:val="3A0D261A"/>
    <w:rsid w:val="3A526C0C"/>
    <w:rsid w:val="3A5D4254"/>
    <w:rsid w:val="3A7461F5"/>
    <w:rsid w:val="3A94460B"/>
    <w:rsid w:val="3AC54CA3"/>
    <w:rsid w:val="3B091033"/>
    <w:rsid w:val="3B157949"/>
    <w:rsid w:val="3B1E53B3"/>
    <w:rsid w:val="3B994B8C"/>
    <w:rsid w:val="3BA01AA3"/>
    <w:rsid w:val="3C390C6E"/>
    <w:rsid w:val="3C862210"/>
    <w:rsid w:val="3CCB40C7"/>
    <w:rsid w:val="3CCE00C3"/>
    <w:rsid w:val="3D290A1D"/>
    <w:rsid w:val="3E083D5E"/>
    <w:rsid w:val="3E584D59"/>
    <w:rsid w:val="3EA37093"/>
    <w:rsid w:val="3ED5122D"/>
    <w:rsid w:val="3EDF4C1B"/>
    <w:rsid w:val="3EF63FC3"/>
    <w:rsid w:val="3F423538"/>
    <w:rsid w:val="3F7F7B16"/>
    <w:rsid w:val="3FC80FB3"/>
    <w:rsid w:val="402828F4"/>
    <w:rsid w:val="404303D8"/>
    <w:rsid w:val="40446788"/>
    <w:rsid w:val="40664832"/>
    <w:rsid w:val="40A24EE0"/>
    <w:rsid w:val="40CF0629"/>
    <w:rsid w:val="414F32AB"/>
    <w:rsid w:val="41DF2AEE"/>
    <w:rsid w:val="42497F67"/>
    <w:rsid w:val="425608D6"/>
    <w:rsid w:val="42660676"/>
    <w:rsid w:val="426A215E"/>
    <w:rsid w:val="429F140E"/>
    <w:rsid w:val="429F1469"/>
    <w:rsid w:val="430976F7"/>
    <w:rsid w:val="43235158"/>
    <w:rsid w:val="43346E69"/>
    <w:rsid w:val="43C81360"/>
    <w:rsid w:val="446D0585"/>
    <w:rsid w:val="449C6B56"/>
    <w:rsid w:val="44DF0F43"/>
    <w:rsid w:val="452B0F7B"/>
    <w:rsid w:val="456B28EB"/>
    <w:rsid w:val="45C347B8"/>
    <w:rsid w:val="45C97502"/>
    <w:rsid w:val="465B7E10"/>
    <w:rsid w:val="466D7AE1"/>
    <w:rsid w:val="466E26B2"/>
    <w:rsid w:val="46700727"/>
    <w:rsid w:val="46733CB9"/>
    <w:rsid w:val="468A0B4E"/>
    <w:rsid w:val="46B76384"/>
    <w:rsid w:val="46FC1A4C"/>
    <w:rsid w:val="4707219F"/>
    <w:rsid w:val="47354F5E"/>
    <w:rsid w:val="474F2687"/>
    <w:rsid w:val="4755115C"/>
    <w:rsid w:val="47A7193F"/>
    <w:rsid w:val="47A8634D"/>
    <w:rsid w:val="48050DD4"/>
    <w:rsid w:val="480B62E7"/>
    <w:rsid w:val="485B45AB"/>
    <w:rsid w:val="4882590A"/>
    <w:rsid w:val="48BB1A0F"/>
    <w:rsid w:val="48D82045"/>
    <w:rsid w:val="49343616"/>
    <w:rsid w:val="493F3E51"/>
    <w:rsid w:val="496760B0"/>
    <w:rsid w:val="496D1222"/>
    <w:rsid w:val="499F2B63"/>
    <w:rsid w:val="4A174947"/>
    <w:rsid w:val="4A3D4856"/>
    <w:rsid w:val="4A407EA2"/>
    <w:rsid w:val="4ADD7DE7"/>
    <w:rsid w:val="4BBA394F"/>
    <w:rsid w:val="4BCE2302"/>
    <w:rsid w:val="4BE1202D"/>
    <w:rsid w:val="4BE24978"/>
    <w:rsid w:val="4C5639AD"/>
    <w:rsid w:val="4C9414B3"/>
    <w:rsid w:val="4D0C03F4"/>
    <w:rsid w:val="4D3D4B6D"/>
    <w:rsid w:val="4D414F9D"/>
    <w:rsid w:val="4D497020"/>
    <w:rsid w:val="4DAB63B1"/>
    <w:rsid w:val="4DB444EC"/>
    <w:rsid w:val="4DCA3D56"/>
    <w:rsid w:val="4DD35CE5"/>
    <w:rsid w:val="4DEF40B9"/>
    <w:rsid w:val="4E0B7D29"/>
    <w:rsid w:val="4F83534C"/>
    <w:rsid w:val="4F846A83"/>
    <w:rsid w:val="4FA233AD"/>
    <w:rsid w:val="50254170"/>
    <w:rsid w:val="503469BD"/>
    <w:rsid w:val="50960C3F"/>
    <w:rsid w:val="50A82C45"/>
    <w:rsid w:val="50AA3F1E"/>
    <w:rsid w:val="50CB39DE"/>
    <w:rsid w:val="50DD1B6F"/>
    <w:rsid w:val="51081D48"/>
    <w:rsid w:val="514069D9"/>
    <w:rsid w:val="517A638F"/>
    <w:rsid w:val="51A0001C"/>
    <w:rsid w:val="51D57A6A"/>
    <w:rsid w:val="520B5239"/>
    <w:rsid w:val="529C47FE"/>
    <w:rsid w:val="53BE6C28"/>
    <w:rsid w:val="53DA642A"/>
    <w:rsid w:val="53E85AB9"/>
    <w:rsid w:val="54424EA8"/>
    <w:rsid w:val="54615FF5"/>
    <w:rsid w:val="548A4B3B"/>
    <w:rsid w:val="548F5AE3"/>
    <w:rsid w:val="549239F0"/>
    <w:rsid w:val="54BB2F47"/>
    <w:rsid w:val="556E4C02"/>
    <w:rsid w:val="558E065B"/>
    <w:rsid w:val="55A06976"/>
    <w:rsid w:val="55A34781"/>
    <w:rsid w:val="55A61A15"/>
    <w:rsid w:val="55D87B28"/>
    <w:rsid w:val="55ED53A9"/>
    <w:rsid w:val="56384123"/>
    <w:rsid w:val="56F97D56"/>
    <w:rsid w:val="570416D6"/>
    <w:rsid w:val="5705494D"/>
    <w:rsid w:val="57075F2D"/>
    <w:rsid w:val="57A8352A"/>
    <w:rsid w:val="58044C05"/>
    <w:rsid w:val="58133F05"/>
    <w:rsid w:val="58B9588A"/>
    <w:rsid w:val="591D2680"/>
    <w:rsid w:val="59814033"/>
    <w:rsid w:val="598476A5"/>
    <w:rsid w:val="59926B38"/>
    <w:rsid w:val="59B144D1"/>
    <w:rsid w:val="59BA483A"/>
    <w:rsid w:val="5A1D3E5E"/>
    <w:rsid w:val="5A2E48FE"/>
    <w:rsid w:val="5A4D5A7E"/>
    <w:rsid w:val="5A5D31A1"/>
    <w:rsid w:val="5A696FA1"/>
    <w:rsid w:val="5B17576C"/>
    <w:rsid w:val="5B4311B8"/>
    <w:rsid w:val="5B4D241F"/>
    <w:rsid w:val="5B501F0F"/>
    <w:rsid w:val="5BB15110"/>
    <w:rsid w:val="5BB662E7"/>
    <w:rsid w:val="5BD01D6E"/>
    <w:rsid w:val="5BD26DC8"/>
    <w:rsid w:val="5C152FBF"/>
    <w:rsid w:val="5CAE553B"/>
    <w:rsid w:val="5D027152"/>
    <w:rsid w:val="5D4D335C"/>
    <w:rsid w:val="5D517047"/>
    <w:rsid w:val="5D616655"/>
    <w:rsid w:val="5D714325"/>
    <w:rsid w:val="5DAF1585"/>
    <w:rsid w:val="5E0940B0"/>
    <w:rsid w:val="5E722763"/>
    <w:rsid w:val="5E7C11F1"/>
    <w:rsid w:val="5EB17168"/>
    <w:rsid w:val="5EE00397"/>
    <w:rsid w:val="5F04585D"/>
    <w:rsid w:val="5F200A95"/>
    <w:rsid w:val="5F3E31FA"/>
    <w:rsid w:val="5F426012"/>
    <w:rsid w:val="5FB24E88"/>
    <w:rsid w:val="5FC52828"/>
    <w:rsid w:val="5FD87175"/>
    <w:rsid w:val="6070184B"/>
    <w:rsid w:val="60730B79"/>
    <w:rsid w:val="608F34D9"/>
    <w:rsid w:val="609B59DA"/>
    <w:rsid w:val="60A42373"/>
    <w:rsid w:val="60B371C8"/>
    <w:rsid w:val="61222A7F"/>
    <w:rsid w:val="616606D1"/>
    <w:rsid w:val="61A25613"/>
    <w:rsid w:val="623635D9"/>
    <w:rsid w:val="62D02854"/>
    <w:rsid w:val="62D3550A"/>
    <w:rsid w:val="62E02630"/>
    <w:rsid w:val="62F17795"/>
    <w:rsid w:val="63F75454"/>
    <w:rsid w:val="63FC0431"/>
    <w:rsid w:val="642973C1"/>
    <w:rsid w:val="64487C27"/>
    <w:rsid w:val="64704AC0"/>
    <w:rsid w:val="6477675E"/>
    <w:rsid w:val="647C6100"/>
    <w:rsid w:val="64A776FA"/>
    <w:rsid w:val="65247FC4"/>
    <w:rsid w:val="65261C89"/>
    <w:rsid w:val="65A86A43"/>
    <w:rsid w:val="65C23C54"/>
    <w:rsid w:val="65FD3E97"/>
    <w:rsid w:val="667E2026"/>
    <w:rsid w:val="669D0EBD"/>
    <w:rsid w:val="66C67529"/>
    <w:rsid w:val="66DD085E"/>
    <w:rsid w:val="67047E1A"/>
    <w:rsid w:val="67241800"/>
    <w:rsid w:val="67264120"/>
    <w:rsid w:val="673C44D9"/>
    <w:rsid w:val="675909DB"/>
    <w:rsid w:val="679C4231"/>
    <w:rsid w:val="680622D3"/>
    <w:rsid w:val="68C33D20"/>
    <w:rsid w:val="68CB5D08"/>
    <w:rsid w:val="68D208BD"/>
    <w:rsid w:val="691B4A60"/>
    <w:rsid w:val="694E7DAA"/>
    <w:rsid w:val="6954706E"/>
    <w:rsid w:val="69A004FC"/>
    <w:rsid w:val="69A91168"/>
    <w:rsid w:val="6A6D6639"/>
    <w:rsid w:val="6A973F27"/>
    <w:rsid w:val="6AAF510F"/>
    <w:rsid w:val="6B216435"/>
    <w:rsid w:val="6B7B4D37"/>
    <w:rsid w:val="6BD13B03"/>
    <w:rsid w:val="6BD75A46"/>
    <w:rsid w:val="6BF345D2"/>
    <w:rsid w:val="6C4F037B"/>
    <w:rsid w:val="6C5C5C0D"/>
    <w:rsid w:val="6C89301F"/>
    <w:rsid w:val="6D346605"/>
    <w:rsid w:val="6D4E44B1"/>
    <w:rsid w:val="6D7A480C"/>
    <w:rsid w:val="6D7B106D"/>
    <w:rsid w:val="6D9C0EEE"/>
    <w:rsid w:val="6DB85E1E"/>
    <w:rsid w:val="6E0A2142"/>
    <w:rsid w:val="6E3F7222"/>
    <w:rsid w:val="6E934195"/>
    <w:rsid w:val="6ECE1671"/>
    <w:rsid w:val="6F332872"/>
    <w:rsid w:val="6F8A0BAA"/>
    <w:rsid w:val="6FA348AB"/>
    <w:rsid w:val="6FA841C0"/>
    <w:rsid w:val="6FBC3668"/>
    <w:rsid w:val="6FCA62DC"/>
    <w:rsid w:val="6FEE1FCA"/>
    <w:rsid w:val="6FF13AC9"/>
    <w:rsid w:val="70981F36"/>
    <w:rsid w:val="70C0548D"/>
    <w:rsid w:val="70DE2274"/>
    <w:rsid w:val="70FE623D"/>
    <w:rsid w:val="71297032"/>
    <w:rsid w:val="720676AD"/>
    <w:rsid w:val="72841E0A"/>
    <w:rsid w:val="72C24699"/>
    <w:rsid w:val="73012015"/>
    <w:rsid w:val="73404336"/>
    <w:rsid w:val="73530005"/>
    <w:rsid w:val="737C0BDA"/>
    <w:rsid w:val="7433708E"/>
    <w:rsid w:val="747C3044"/>
    <w:rsid w:val="74CA631E"/>
    <w:rsid w:val="754E07C3"/>
    <w:rsid w:val="756602B2"/>
    <w:rsid w:val="75882579"/>
    <w:rsid w:val="75D7232A"/>
    <w:rsid w:val="76982C90"/>
    <w:rsid w:val="76AB6E17"/>
    <w:rsid w:val="76AE4262"/>
    <w:rsid w:val="76D13197"/>
    <w:rsid w:val="76D55DA7"/>
    <w:rsid w:val="76E25CB9"/>
    <w:rsid w:val="76FC2A0E"/>
    <w:rsid w:val="77080370"/>
    <w:rsid w:val="77AC443F"/>
    <w:rsid w:val="77C01188"/>
    <w:rsid w:val="77CB4ADD"/>
    <w:rsid w:val="780103C1"/>
    <w:rsid w:val="786A6010"/>
    <w:rsid w:val="786C7AE8"/>
    <w:rsid w:val="78793A13"/>
    <w:rsid w:val="788F3C1F"/>
    <w:rsid w:val="788F6084"/>
    <w:rsid w:val="78BF3753"/>
    <w:rsid w:val="78EC3EB0"/>
    <w:rsid w:val="794437B1"/>
    <w:rsid w:val="79CD2C51"/>
    <w:rsid w:val="79F91C98"/>
    <w:rsid w:val="7A256345"/>
    <w:rsid w:val="7A3251AA"/>
    <w:rsid w:val="7A4A356F"/>
    <w:rsid w:val="7A6C09DE"/>
    <w:rsid w:val="7A8B0CAC"/>
    <w:rsid w:val="7AE53FCA"/>
    <w:rsid w:val="7AE94C3B"/>
    <w:rsid w:val="7B366F41"/>
    <w:rsid w:val="7B3D26B2"/>
    <w:rsid w:val="7B72B309"/>
    <w:rsid w:val="7BDB246C"/>
    <w:rsid w:val="7CE43A4E"/>
    <w:rsid w:val="7D074CD4"/>
    <w:rsid w:val="7D0E2473"/>
    <w:rsid w:val="7D822167"/>
    <w:rsid w:val="7D984540"/>
    <w:rsid w:val="7DA37E53"/>
    <w:rsid w:val="7DEE010D"/>
    <w:rsid w:val="7E9B65C0"/>
    <w:rsid w:val="7EAA22BC"/>
    <w:rsid w:val="7EDE76AE"/>
    <w:rsid w:val="7F1E5ED3"/>
    <w:rsid w:val="7F4774EC"/>
    <w:rsid w:val="7F5C4F75"/>
    <w:rsid w:val="7F643C19"/>
    <w:rsid w:val="F74FF373"/>
    <w:rsid w:val="FE6FF4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4">
    <w:name w:val="heading 1"/>
    <w:basedOn w:val="1"/>
    <w:next w:val="1"/>
    <w:link w:val="22"/>
    <w:qFormat/>
    <w:uiPriority w:val="0"/>
    <w:pPr>
      <w:keepNext/>
      <w:keepLines/>
      <w:spacing w:before="10" w:after="10"/>
      <w:jc w:val="center"/>
      <w:outlineLvl w:val="0"/>
    </w:pPr>
    <w:rPr>
      <w:b/>
      <w:bCs/>
      <w:kern w:val="44"/>
      <w:sz w:val="32"/>
      <w:szCs w:val="44"/>
    </w:rPr>
  </w:style>
  <w:style w:type="paragraph" w:styleId="5">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华文仿宋"/>
      <w:b/>
      <w:sz w:val="36"/>
    </w:rPr>
  </w:style>
  <w:style w:type="paragraph" w:styleId="6">
    <w:name w:val="heading 3"/>
    <w:basedOn w:val="1"/>
    <w:next w:val="1"/>
    <w:unhideWhenUsed/>
    <w:qFormat/>
    <w:uiPriority w:val="0"/>
    <w:pPr>
      <w:keepNext/>
      <w:keepLines/>
      <w:spacing w:before="260" w:beforeLines="0" w:beforeAutospacing="0" w:after="260" w:afterLines="0" w:afterAutospacing="0" w:line="413" w:lineRule="auto"/>
      <w:outlineLvl w:val="2"/>
    </w:pPr>
    <w:rPr>
      <w:rFonts w:eastAsia="SimSong"/>
      <w:b/>
      <w:sz w:val="30"/>
    </w:rPr>
  </w:style>
  <w:style w:type="paragraph" w:styleId="7">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SimSong"/>
      <w:b/>
    </w:rPr>
  </w:style>
  <w:style w:type="character" w:default="1" w:styleId="14">
    <w:name w:val="Default Paragraph Font"/>
    <w:semiHidden/>
    <w:qFormat/>
    <w:uiPriority w:val="0"/>
  </w:style>
  <w:style w:type="table" w:default="1" w:styleId="1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First Indent 2"/>
    <w:basedOn w:val="3"/>
    <w:qFormat/>
    <w:uiPriority w:val="0"/>
    <w:pPr>
      <w:widowControl w:val="0"/>
      <w:spacing w:line="360" w:lineRule="auto"/>
      <w:ind w:left="0" w:leftChars="0" w:firstLine="883" w:firstLineChars="200"/>
      <w:jc w:val="both"/>
    </w:pPr>
    <w:rPr>
      <w:rFonts w:ascii="Calibri" w:hAnsi="Calibri" w:eastAsia="宋体" w:cs="Times New Roman"/>
      <w:kern w:val="2"/>
      <w:sz w:val="24"/>
      <w:szCs w:val="28"/>
      <w:lang w:val="en-US" w:eastAsia="zh-CN" w:bidi="ar-SA"/>
    </w:rPr>
  </w:style>
  <w:style w:type="paragraph" w:styleId="3">
    <w:name w:val="Body Text Indent"/>
    <w:basedOn w:val="1"/>
    <w:qFormat/>
    <w:uiPriority w:val="0"/>
    <w:pPr>
      <w:widowControl w:val="0"/>
      <w:spacing w:line="360" w:lineRule="auto"/>
      <w:ind w:left="265" w:leftChars="126" w:firstLine="1"/>
      <w:jc w:val="both"/>
    </w:pPr>
    <w:rPr>
      <w:rFonts w:ascii="Calibri" w:hAnsi="Calibri" w:eastAsia="宋体" w:cs="Times New Roman"/>
      <w:kern w:val="2"/>
      <w:sz w:val="24"/>
      <w:lang w:val="en-US" w:eastAsia="zh-CN" w:bidi="ar-SA"/>
    </w:rPr>
  </w:style>
  <w:style w:type="paragraph" w:styleId="8">
    <w:name w:val="annotation text"/>
    <w:basedOn w:val="1"/>
    <w:qFormat/>
    <w:uiPriority w:val="0"/>
    <w:pPr>
      <w:jc w:val="left"/>
    </w:pPr>
  </w:style>
  <w:style w:type="paragraph" w:styleId="9">
    <w:name w:val="Body Text"/>
    <w:basedOn w:val="1"/>
    <w:next w:val="1"/>
    <w:semiHidden/>
    <w:qFormat/>
    <w:uiPriority w:val="0"/>
    <w:rPr>
      <w:rFonts w:ascii="宋体" w:hAnsi="宋体" w:eastAsia="宋体" w:cs="宋体"/>
      <w:sz w:val="19"/>
      <w:szCs w:val="19"/>
      <w:lang w:val="en-US" w:eastAsia="en-US" w:bidi="ar-SA"/>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Body Text First Indent"/>
    <w:qFormat/>
    <w:uiPriority w:val="0"/>
    <w:pPr>
      <w:widowControl/>
      <w:spacing w:before="180" w:after="120"/>
      <w:ind w:firstLine="420" w:firstLineChars="100"/>
      <w:jc w:val="both"/>
    </w:pPr>
    <w:rPr>
      <w:rFonts w:ascii="Calibri" w:hAnsi="Calibri" w:eastAsia="宋体" w:cs="Times New Roman"/>
      <w:kern w:val="0"/>
      <w:sz w:val="24"/>
      <w:szCs w:val="20"/>
      <w:lang w:val="en-US" w:eastAsia="en-US" w:bidi="ar-SA"/>
    </w:rPr>
  </w:style>
  <w:style w:type="character" w:styleId="15">
    <w:name w:val="Strong"/>
    <w:basedOn w:val="14"/>
    <w:qFormat/>
    <w:uiPriority w:val="0"/>
    <w:rPr>
      <w:b/>
    </w:rPr>
  </w:style>
  <w:style w:type="table" w:customStyle="1" w:styleId="16">
    <w:name w:val="Table Normal"/>
    <w:semiHidden/>
    <w:unhideWhenUsed/>
    <w:qFormat/>
    <w:uiPriority w:val="0"/>
    <w:tblPr>
      <w:tblCellMar>
        <w:top w:w="0" w:type="dxa"/>
        <w:left w:w="0" w:type="dxa"/>
        <w:bottom w:w="0" w:type="dxa"/>
        <w:right w:w="0" w:type="dxa"/>
      </w:tblCellMar>
    </w:tblPr>
  </w:style>
  <w:style w:type="paragraph" w:customStyle="1" w:styleId="17">
    <w:name w:val="Table Text"/>
    <w:basedOn w:val="1"/>
    <w:semiHidden/>
    <w:qFormat/>
    <w:uiPriority w:val="0"/>
    <w:rPr>
      <w:rFonts w:ascii="宋体" w:hAnsi="宋体" w:eastAsia="宋体" w:cs="宋体"/>
      <w:sz w:val="19"/>
      <w:szCs w:val="19"/>
      <w:lang w:val="en-US" w:eastAsia="en-US" w:bidi="ar-SA"/>
    </w:rPr>
  </w:style>
  <w:style w:type="paragraph" w:customStyle="1" w:styleId="18">
    <w:name w:val="标题 41"/>
    <w:basedOn w:val="1"/>
    <w:qFormat/>
    <w:uiPriority w:val="1"/>
    <w:pPr>
      <w:ind w:left="1745"/>
      <w:jc w:val="left"/>
      <w:outlineLvl w:val="4"/>
    </w:pPr>
    <w:rPr>
      <w:rFonts w:ascii="宋体" w:hAnsi="宋体" w:eastAsia="宋体"/>
      <w:kern w:val="0"/>
      <w:sz w:val="26"/>
      <w:szCs w:val="26"/>
      <w:lang w:eastAsia="en-US"/>
    </w:rPr>
  </w:style>
  <w:style w:type="paragraph" w:customStyle="1" w:styleId="19">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0">
    <w:name w:val="标题 31"/>
    <w:basedOn w:val="1"/>
    <w:qFormat/>
    <w:uiPriority w:val="1"/>
    <w:pPr>
      <w:ind w:left="1736"/>
      <w:jc w:val="left"/>
      <w:outlineLvl w:val="3"/>
    </w:pPr>
    <w:rPr>
      <w:rFonts w:ascii="宋体" w:hAnsi="宋体" w:eastAsia="宋体"/>
      <w:kern w:val="0"/>
      <w:sz w:val="27"/>
      <w:szCs w:val="27"/>
      <w:lang w:eastAsia="en-US"/>
    </w:rPr>
  </w:style>
  <w:style w:type="paragraph" w:customStyle="1" w:styleId="21">
    <w:name w:val="null3"/>
    <w:hidden/>
    <w:qFormat/>
    <w:uiPriority w:val="0"/>
    <w:rPr>
      <w:rFonts w:hint="eastAsia" w:asciiTheme="minorHAnsi" w:hAnsiTheme="minorHAnsi" w:eastAsiaTheme="minorEastAsia" w:cstheme="minorBidi"/>
      <w:lang w:val="en-US" w:eastAsia="zh-Hans"/>
    </w:rPr>
  </w:style>
  <w:style w:type="character" w:customStyle="1" w:styleId="22">
    <w:name w:val="标题 1 Char"/>
    <w:basedOn w:val="14"/>
    <w:link w:val="4"/>
    <w:qFormat/>
    <w:uiPriority w:val="0"/>
    <w:rPr>
      <w:b/>
      <w:bCs/>
      <w:kern w:val="44"/>
      <w:sz w:val="32"/>
      <w:szCs w:val="44"/>
    </w:rPr>
  </w:style>
  <w:style w:type="character" w:customStyle="1" w:styleId="23">
    <w:name w:val="NormalCharacter"/>
    <w:semiHidden/>
    <w:qFormat/>
    <w:uiPriority w:val="0"/>
    <w:rPr>
      <w:sz w:val="24"/>
      <w:szCs w:val="24"/>
    </w:rPr>
  </w:style>
  <w:style w:type="paragraph" w:customStyle="1" w:styleId="24">
    <w:name w:val="正文文本1"/>
    <w:basedOn w:val="1"/>
    <w:qFormat/>
    <w:uiPriority w:val="0"/>
    <w:pPr>
      <w:spacing w:after="130" w:line="324" w:lineRule="auto"/>
      <w:ind w:firstLine="400"/>
      <w:jc w:val="left"/>
    </w:pPr>
    <w:rPr>
      <w:rFonts w:ascii="宋体" w:hAnsi="宋体" w:cs="宋体"/>
      <w:color w:val="E47A6E"/>
      <w:sz w:val="20"/>
      <w:szCs w:val="20"/>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715</Words>
  <Characters>733</Characters>
  <TotalTime>0</TotalTime>
  <ScaleCrop>false</ScaleCrop>
  <LinksUpToDate>false</LinksUpToDate>
  <CharactersWithSpaces>816</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2024-02-05T12:06:00Z</dcterms:created>
  <dc:creator>招标</dc:creator>
  <cp:lastModifiedBy>77</cp:lastModifiedBy>
  <cp:lastPrinted>2025-04-25T07:52:00Z</cp:lastPrinted>
  <dcterms:modified xsi:type="dcterms:W3CDTF">2026-03-27T06:50:56Z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2024-04-07T17:09:49Z</vt:filetime>
  </property>
  <property fmtid="{D5CDD505-2E9C-101B-9397-08002B2CF9AE}" pid="4" name="KSOProductBuildVer">
    <vt:lpwstr>2052-12.1.0.25225</vt:lpwstr>
  </property>
  <property fmtid="{D5CDD505-2E9C-101B-9397-08002B2CF9AE}" pid="5" name="ICV">
    <vt:lpwstr>A53C8EF532C04C5589AE434FA90B6CB6_13</vt:lpwstr>
  </property>
  <property fmtid="{D5CDD505-2E9C-101B-9397-08002B2CF9AE}" pid="6" name="KSOTemplateDocerSaveRecord">
    <vt:lpwstr>eyJoZGlkIjoiN2ViYzgzYzQyMGIyYjJjYjcxZTNlYzBlMzBmOWMyM2IiLCJ1c2VySWQiOiIzNjkxNTMwMTkifQ==</vt:lpwstr>
  </property>
</Properties>
</file>