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版本号：SXHC2026-04920260403001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山洪灾害防治设施维修养护项目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SXHC2026-049</w:t>
      </w:r>
      <w:r>
        <w:br/>
      </w:r>
      <w:r>
        <w:br/>
      </w:r>
      <w:r>
        <w:br/>
      </w:r>
    </w:p>
    <w:p>
      <w:pPr>
        <w:pStyle w:val="null3"/>
        <w:jc w:val="center"/>
        <w:outlineLvl w:val="2"/>
      </w:pPr>
      <w:r>
        <w:rPr>
          <w:rFonts w:ascii="仿宋_GB2312" w:hAnsi="仿宋_GB2312" w:cs="仿宋_GB2312" w:eastAsia="仿宋_GB2312"/>
          <w:sz w:val="28"/>
          <w:b/>
        </w:rPr>
        <w:t>西安市水旱灾害防御管理中心</w:t>
      </w:r>
    </w:p>
    <w:p>
      <w:pPr>
        <w:pStyle w:val="null3"/>
        <w:jc w:val="center"/>
        <w:outlineLvl w:val="2"/>
      </w:pPr>
      <w:r>
        <w:rPr>
          <w:rFonts w:ascii="仿宋_GB2312" w:hAnsi="仿宋_GB2312" w:cs="仿宋_GB2312" w:eastAsia="仿宋_GB2312"/>
          <w:sz w:val="28"/>
          <w:b/>
        </w:rPr>
        <w:t>陕西华采招标有限公司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西安市水旱灾害防御管理中心</w:t>
      </w:r>
      <w:r>
        <w:rPr>
          <w:rFonts w:ascii="仿宋_GB2312" w:hAnsi="仿宋_GB2312" w:cs="仿宋_GB2312" w:eastAsia="仿宋_GB2312"/>
        </w:rPr>
        <w:t>委托，拟对</w:t>
      </w:r>
      <w:r>
        <w:rPr>
          <w:rFonts w:ascii="仿宋_GB2312" w:hAnsi="仿宋_GB2312" w:cs="仿宋_GB2312" w:eastAsia="仿宋_GB2312"/>
        </w:rPr>
        <w:t>山洪灾害防治设施维修养护项目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SXHC2026-049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山洪灾害防治设施维修养护项目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本项目聚焦西安市辖区内各类山洪灾害监测站，通过全面系统的维修养护工作，恢复并提升设施设备性能，确保其稳定可靠运行，为山洪灾害精准预警、科学防控提供坚实技术支撑。</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采购包1（山洪灾害防治设施维修养护项目）：属于专门面向中小企业采购。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依法缴纳税收和社会保障资金：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p>
      <w:pPr>
        <w:pStyle w:val="null3"/>
      </w:pPr>
      <w:r>
        <w:rPr>
          <w:rFonts w:ascii="仿宋_GB2312" w:hAnsi="仿宋_GB2312" w:cs="仿宋_GB2312" w:eastAsia="仿宋_GB2312"/>
        </w:rPr>
        <w:t>4、履行本合同所必需的设备和专业技术能力：提供具有履行本合同所必需的设备和专业技术能力的书面声明。</w:t>
      </w:r>
    </w:p>
    <w:p>
      <w:pPr>
        <w:pStyle w:val="null3"/>
      </w:pPr>
      <w:r>
        <w:rPr>
          <w:rFonts w:ascii="仿宋_GB2312" w:hAnsi="仿宋_GB2312" w:cs="仿宋_GB2312" w:eastAsia="仿宋_GB2312"/>
        </w:rPr>
        <w:t>5、无重大违法记录书面声明：提供参加政府采购活动前3年内在经营活动中没有重大违法记录的书面声明。</w:t>
      </w:r>
    </w:p>
    <w:p>
      <w:pPr>
        <w:pStyle w:val="null3"/>
      </w:pPr>
      <w:r>
        <w:rPr>
          <w:rFonts w:ascii="仿宋_GB2312" w:hAnsi="仿宋_GB2312" w:cs="仿宋_GB2312" w:eastAsia="仿宋_GB2312"/>
        </w:rPr>
        <w:t>6、信誉要求：供应商未列入“失信被执行人”、“重大税收违法案件当事人名单”和“政府采购严重违法失信行为记录名单”。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西安市水旱灾害防御管理中心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西安市未央区凤锦路58号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029-62645842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潘聪、张聪聪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规定按标准的收取。 （2）代理服务费可以采取现金、支票、银行汇票、电汇、网银等方式缴纳。 （3）代理服务费缴纳信息如下： 银行户名：陕西华采招标有限公司 开户行名称：招商银行陕西自贸试验区西安高新科技支行 行 号：308791011305 账 号：129905942210666 联 系 人：韩工 联系电话：029-68255920-802</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西安市水旱灾害防御管理中心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西安市水旱灾害防御管理中心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西安市水旱灾害防御管理中心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联系人：党娜</w:t>
      </w:r>
    </w:p>
    <w:p>
      <w:pPr>
        <w:pStyle w:val="null3"/>
      </w:pPr>
      <w:r>
        <w:rPr>
          <w:rFonts w:ascii="仿宋_GB2312" w:hAnsi="仿宋_GB2312" w:cs="仿宋_GB2312" w:eastAsia="仿宋_GB2312"/>
        </w:rPr>
        <w:t>联系电话：029-68255920转806</w:t>
      </w:r>
    </w:p>
    <w:p>
      <w:pPr>
        <w:pStyle w:val="null3"/>
      </w:pPr>
      <w:r>
        <w:rPr>
          <w:rFonts w:ascii="仿宋_GB2312" w:hAnsi="仿宋_GB2312" w:cs="仿宋_GB2312" w:eastAsia="仿宋_GB2312"/>
        </w:rPr>
        <w:t>地址：西安高新区锦业路1号绿地领海大厦B座10楼1006室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本项目聚焦西安市辖区内各类山洪灾害监测站，通过全面系统的维修养护工作，恢复并提升设施设备性能，确保其稳定可靠运行，为山洪灾害精准预警、科学防控提供坚实技术支撑。</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山洪灾害防治设施维修养护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标的名称：山洪灾害防治设施维修养护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b/>
              </w:rPr>
              <w:t>一、项目概述</w:t>
            </w:r>
          </w:p>
          <w:p>
            <w:pPr>
              <w:pStyle w:val="null3"/>
              <w:ind w:firstLine="480"/>
            </w:pPr>
            <w:r>
              <w:rPr>
                <w:rFonts w:ascii="仿宋_GB2312" w:hAnsi="仿宋_GB2312" w:cs="仿宋_GB2312" w:eastAsia="仿宋_GB2312"/>
                <w:b/>
              </w:rPr>
              <w:t>（一）项目背景</w:t>
            </w:r>
          </w:p>
          <w:p>
            <w:pPr>
              <w:pStyle w:val="null3"/>
              <w:ind w:firstLine="480"/>
            </w:pPr>
            <w:r>
              <w:rPr>
                <w:rFonts w:ascii="仿宋_GB2312" w:hAnsi="仿宋_GB2312" w:cs="仿宋_GB2312" w:eastAsia="仿宋_GB2312"/>
              </w:rPr>
              <w:t>为切实保障西安市人民群众生命财产安全，筑牢山洪灾害防御坚固屏障，依据《陕西省水利厅关于下达2026年中央水利发展资金山洪灾害防治非工程措施维修养护项目计划的通知》文件要求，结合本地区山洪灾害防治设施运行实际状况，特组织实施本次山洪灾害防治设施维修养护项目。本项目聚焦西安市辖区内各类山洪灾害监测站，通过全面系统的维修养护工作，恢复并提升设施设备性能，确保其稳定可靠运行，为山洪灾害精准预警、科学防控提供坚实技术支撑。</w:t>
            </w:r>
          </w:p>
          <w:p>
            <w:pPr>
              <w:pStyle w:val="null3"/>
              <w:ind w:firstLine="480"/>
            </w:pPr>
            <w:r>
              <w:rPr>
                <w:rFonts w:ascii="仿宋_GB2312" w:hAnsi="仿宋_GB2312" w:cs="仿宋_GB2312" w:eastAsia="仿宋_GB2312"/>
                <w:b/>
              </w:rPr>
              <w:t>（二）测站基本情况</w:t>
            </w:r>
          </w:p>
          <w:p>
            <w:pPr>
              <w:pStyle w:val="null3"/>
              <w:ind w:firstLine="480"/>
            </w:pPr>
            <w:r>
              <w:rPr>
                <w:rFonts w:ascii="仿宋_GB2312" w:hAnsi="仿宋_GB2312" w:cs="仿宋_GB2312" w:eastAsia="仿宋_GB2312"/>
              </w:rPr>
              <w:t>本项目涉及的测站涵盖雨量站、水位站、流量站三大类，分布于西安市周至、鄠邑、长安、蓝田、临潼等区县，共计测站338处。</w:t>
            </w:r>
          </w:p>
          <w:p>
            <w:pPr>
              <w:pStyle w:val="null3"/>
              <w:ind w:firstLine="480"/>
            </w:pPr>
            <w:r>
              <w:rPr>
                <w:rFonts w:ascii="仿宋_GB2312" w:hAnsi="仿宋_GB2312" w:cs="仿宋_GB2312" w:eastAsia="仿宋_GB2312"/>
              </w:rPr>
              <w:t>目前部分监测站设备经长期运行，已进入故障高发期，存在数据缺失、传输不稳定、测量精度下降等问题，严重影响水灾害监测预警的及时性和准确性。为提升区域内山洪灾害监测预警能力，保障各类测站设备稳定运行，实时、准确采集和传输各类监测数据。对现有自动监测站设施设备进行专项维修养护非常必要。</w:t>
            </w:r>
          </w:p>
          <w:p>
            <w:pPr>
              <w:pStyle w:val="null3"/>
              <w:ind w:firstLine="480"/>
            </w:pPr>
            <w:r>
              <w:rPr>
                <w:rFonts w:ascii="仿宋_GB2312" w:hAnsi="仿宋_GB2312" w:cs="仿宋_GB2312" w:eastAsia="仿宋_GB2312"/>
                <w:b/>
              </w:rPr>
              <w:t>（三</w:t>
            </w:r>
            <w:r>
              <w:rPr>
                <w:rFonts w:ascii="仿宋_GB2312" w:hAnsi="仿宋_GB2312" w:cs="仿宋_GB2312" w:eastAsia="仿宋_GB2312"/>
                <w:b/>
              </w:rPr>
              <w:t>）项目核心目标</w:t>
            </w:r>
          </w:p>
          <w:p>
            <w:pPr>
              <w:pStyle w:val="null3"/>
              <w:ind w:firstLine="480"/>
            </w:pPr>
            <w:r>
              <w:rPr>
                <w:rFonts w:ascii="仿宋_GB2312" w:hAnsi="仿宋_GB2312" w:cs="仿宋_GB2312" w:eastAsia="仿宋_GB2312"/>
              </w:rPr>
              <w:t>本项目旨在通过对西安市山洪灾害自动监测站进行系统化、标准化、常态化的维修与养护，实现以下核心目标：</w:t>
            </w:r>
          </w:p>
          <w:p>
            <w:pPr>
              <w:pStyle w:val="null3"/>
              <w:ind w:firstLine="480"/>
            </w:pPr>
            <w:r>
              <w:rPr>
                <w:rFonts w:ascii="仿宋_GB2312" w:hAnsi="仿宋_GB2312" w:cs="仿宋_GB2312" w:eastAsia="仿宋_GB2312"/>
              </w:rPr>
              <w:t>1、保障山洪灾害监测系统可靠运行：自动监测站数据在线率稳定达到90%以上，为山洪灾害防御提供科学依据。</w:t>
            </w:r>
          </w:p>
          <w:p>
            <w:pPr>
              <w:pStyle w:val="null3"/>
              <w:ind w:firstLine="480"/>
            </w:pPr>
            <w:r>
              <w:rPr>
                <w:rFonts w:ascii="仿宋_GB2312" w:hAnsi="仿宋_GB2312" w:cs="仿宋_GB2312" w:eastAsia="仿宋_GB2312"/>
              </w:rPr>
              <w:t>2、提升数据质量：通过对设备定期校准、维护和故障修复，接收数据的维护治理，保障监测数据的准确性、连续性和完整性。</w:t>
            </w:r>
          </w:p>
          <w:p>
            <w:pPr>
              <w:pStyle w:val="null3"/>
              <w:ind w:firstLine="480"/>
            </w:pPr>
            <w:r>
              <w:rPr>
                <w:rFonts w:ascii="仿宋_GB2312" w:hAnsi="仿宋_GB2312" w:cs="仿宋_GB2312" w:eastAsia="仿宋_GB2312"/>
              </w:rPr>
              <w:t>3、优化资产效能：通过预防性维护和及时维修，有效延长核心监测设备的使用寿命，降低全生命周期内的总体故障发生率与运维成本。</w:t>
            </w:r>
          </w:p>
          <w:p>
            <w:pPr>
              <w:pStyle w:val="null3"/>
              <w:ind w:firstLine="480"/>
            </w:pPr>
            <w:r>
              <w:rPr>
                <w:rFonts w:ascii="仿宋_GB2312" w:hAnsi="仿宋_GB2312" w:cs="仿宋_GB2312" w:eastAsia="仿宋_GB2312"/>
              </w:rPr>
              <w:t>4、支撑科学决策：为西安市山洪灾害防御、防汛应急指挥决策等提供准确、及时、可靠的数据支撑。</w:t>
            </w:r>
          </w:p>
          <w:p>
            <w:pPr>
              <w:pStyle w:val="null3"/>
              <w:ind w:firstLine="480"/>
            </w:pPr>
            <w:r>
              <w:rPr>
                <w:rFonts w:ascii="仿宋_GB2312" w:hAnsi="仿宋_GB2312" w:cs="仿宋_GB2312" w:eastAsia="仿宋_GB2312"/>
                <w:b/>
              </w:rPr>
              <w:t>二、服务要求</w:t>
            </w:r>
          </w:p>
          <w:p>
            <w:pPr>
              <w:pStyle w:val="null3"/>
              <w:ind w:firstLine="400"/>
            </w:pPr>
            <w:r>
              <w:rPr>
                <w:rFonts w:ascii="仿宋_GB2312" w:hAnsi="仿宋_GB2312" w:cs="仿宋_GB2312" w:eastAsia="仿宋_GB2312"/>
              </w:rPr>
              <w:t>本项目实施范围为西安市338处山洪灾害监测站。具体站点见</w:t>
            </w:r>
            <w:r>
              <w:rPr>
                <w:rFonts w:ascii="仿宋_GB2312" w:hAnsi="仿宋_GB2312" w:cs="仿宋_GB2312" w:eastAsia="仿宋_GB2312"/>
                <w:b/>
              </w:rPr>
              <w:t>附件：《站点维护明细表》</w:t>
            </w:r>
            <w:r>
              <w:rPr>
                <w:rFonts w:ascii="仿宋_GB2312" w:hAnsi="仿宋_GB2312" w:cs="仿宋_GB2312" w:eastAsia="仿宋_GB2312"/>
              </w:rPr>
              <w:t>。</w:t>
            </w:r>
          </w:p>
          <w:p>
            <w:pPr>
              <w:pStyle w:val="null3"/>
              <w:ind w:firstLine="400"/>
            </w:pPr>
            <w:r>
              <w:rPr>
                <w:rFonts w:ascii="仿宋_GB2312" w:hAnsi="仿宋_GB2312" w:cs="仿宋_GB2312" w:eastAsia="仿宋_GB2312"/>
              </w:rPr>
              <w:t>服务内容：对148处监测站点开展巡检、应急故障处理、数据维护与治理；对10处河道水位站改造提升；完成4处水毁站点修复；对88处站点传输设备更新；对85处站点运行状态评估，从设备性能、设备精度、数据质量、环境适配性等维度进行综合分析，对数据精度进行校准，形成专业评估报告，并针对设备长期稳定运行提出系统性优化建议。</w:t>
            </w:r>
          </w:p>
          <w:p>
            <w:pPr>
              <w:pStyle w:val="null3"/>
              <w:ind w:firstLine="480"/>
            </w:pPr>
            <w:r>
              <w:rPr>
                <w:rFonts w:ascii="仿宋_GB2312" w:hAnsi="仿宋_GB2312" w:cs="仿宋_GB2312" w:eastAsia="仿宋_GB2312"/>
                <w:b/>
              </w:rPr>
              <w:t>（一</w:t>
            </w:r>
            <w:r>
              <w:rPr>
                <w:rFonts w:ascii="仿宋_GB2312" w:hAnsi="仿宋_GB2312" w:cs="仿宋_GB2312" w:eastAsia="仿宋_GB2312"/>
                <w:b/>
              </w:rPr>
              <w:t>）</w:t>
            </w:r>
            <w:r>
              <w:rPr>
                <w:rFonts w:ascii="仿宋_GB2312" w:hAnsi="仿宋_GB2312" w:cs="仿宋_GB2312" w:eastAsia="仿宋_GB2312"/>
                <w:b/>
              </w:rPr>
              <w:t>148</w:t>
            </w:r>
            <w:r>
              <w:rPr>
                <w:rFonts w:ascii="仿宋_GB2312" w:hAnsi="仿宋_GB2312" w:cs="仿宋_GB2312" w:eastAsia="仿宋_GB2312"/>
                <w:b/>
              </w:rPr>
              <w:t>处站点常态化运维保障</w:t>
            </w:r>
          </w:p>
          <w:p>
            <w:pPr>
              <w:pStyle w:val="null3"/>
              <w:ind w:firstLine="480"/>
            </w:pPr>
            <w:r>
              <w:rPr>
                <w:rFonts w:ascii="仿宋_GB2312" w:hAnsi="仿宋_GB2312" w:cs="仿宋_GB2312" w:eastAsia="仿宋_GB2312"/>
              </w:rPr>
              <w:t>1、总体要求</w:t>
            </w:r>
          </w:p>
          <w:p>
            <w:pPr>
              <w:pStyle w:val="null3"/>
              <w:ind w:firstLine="480"/>
            </w:pPr>
            <w:r>
              <w:rPr>
                <w:rFonts w:ascii="仿宋_GB2312" w:hAnsi="仿宋_GB2312" w:cs="仿宋_GB2312" w:eastAsia="仿宋_GB2312"/>
              </w:rPr>
              <w:t>汛前至少开展一次全面检查维护，确保站点汛期正常运行，以良好状态投入当年运行；汛期做好应急故障修复、数据接收检查、数据治理维护；汛后对设备进行检查，提出维护总结报告。</w:t>
            </w:r>
          </w:p>
          <w:p>
            <w:pPr>
              <w:pStyle w:val="null3"/>
              <w:ind w:firstLine="480"/>
            </w:pPr>
            <w:r>
              <w:rPr>
                <w:rFonts w:ascii="仿宋_GB2312" w:hAnsi="仿宋_GB2312" w:cs="仿宋_GB2312" w:eastAsia="仿宋_GB2312"/>
              </w:rPr>
              <w:t>故障设备应及时维护，自动测报设备的在线率应达到90%以上（以数据库收到数据为考核标准）。</w:t>
            </w:r>
          </w:p>
          <w:p>
            <w:pPr>
              <w:pStyle w:val="null3"/>
              <w:ind w:firstLine="480"/>
            </w:pPr>
            <w:r>
              <w:rPr>
                <w:rFonts w:ascii="仿宋_GB2312" w:hAnsi="仿宋_GB2312" w:cs="仿宋_GB2312" w:eastAsia="仿宋_GB2312"/>
              </w:rPr>
              <w:t>当发现设备故障或接到故障通知后，需在30分钟内做出响应，确保汛期故障24h内到场处置并完成修复，非汛期故障72h内完成修复。</w:t>
            </w:r>
          </w:p>
          <w:p>
            <w:pPr>
              <w:pStyle w:val="null3"/>
              <w:ind w:firstLine="480"/>
            </w:pPr>
            <w:r>
              <w:rPr>
                <w:rFonts w:ascii="仿宋_GB2312" w:hAnsi="仿宋_GB2312" w:cs="仿宋_GB2312" w:eastAsia="仿宋_GB2312"/>
              </w:rPr>
              <w:t>2、运维技术规范</w:t>
            </w:r>
          </w:p>
          <w:p>
            <w:pPr>
              <w:pStyle w:val="null3"/>
              <w:ind w:firstLine="480"/>
            </w:pPr>
            <w:r>
              <w:rPr>
                <w:rFonts w:ascii="仿宋_GB2312" w:hAnsi="仿宋_GB2312" w:cs="仿宋_GB2312" w:eastAsia="仿宋_GB2312"/>
              </w:rPr>
              <w:t>A.雨量计传感器：</w:t>
            </w:r>
          </w:p>
          <w:p>
            <w:pPr>
              <w:pStyle w:val="null3"/>
              <w:ind w:firstLine="480"/>
            </w:pPr>
            <w:r>
              <w:rPr>
                <w:rFonts w:ascii="仿宋_GB2312" w:hAnsi="仿宋_GB2312" w:cs="仿宋_GB2312" w:eastAsia="仿宋_GB2312"/>
              </w:rPr>
              <w:t>1)雨量计应竖直稳固，承雨器口应水平，工作平台气泡应居中水平；</w:t>
            </w:r>
          </w:p>
          <w:p>
            <w:pPr>
              <w:pStyle w:val="null3"/>
              <w:ind w:firstLine="480"/>
            </w:pPr>
            <w:r>
              <w:rPr>
                <w:rFonts w:ascii="仿宋_GB2312" w:hAnsi="仿宋_GB2312" w:cs="仿宋_GB2312" w:eastAsia="仿宋_GB2312"/>
              </w:rPr>
              <w:t>2)雨量计外观应光滑整洁，无凹陷、毛刺、裂缝、锈蚀，筒身无渗漏；</w:t>
            </w:r>
          </w:p>
          <w:p>
            <w:pPr>
              <w:pStyle w:val="null3"/>
              <w:ind w:firstLine="480"/>
            </w:pPr>
            <w:r>
              <w:rPr>
                <w:rFonts w:ascii="仿宋_GB2312" w:hAnsi="仿宋_GB2312" w:cs="仿宋_GB2312" w:eastAsia="仿宋_GB2312"/>
              </w:rPr>
              <w:t>3)防虫网、漏嘴、漏斗、翻斗、集水罐及筒身内部各部件应洁净、无破损、松动，过水部件应汇流畅通无堵塞；</w:t>
            </w:r>
          </w:p>
          <w:p>
            <w:pPr>
              <w:pStyle w:val="null3"/>
              <w:ind w:firstLine="480"/>
            </w:pPr>
            <w:r>
              <w:rPr>
                <w:rFonts w:ascii="仿宋_GB2312" w:hAnsi="仿宋_GB2312" w:cs="仿宋_GB2312" w:eastAsia="仿宋_GB2312"/>
              </w:rPr>
              <w:t>4)翻斗翻转应灵活无阻滞，干簧管安装应正确，信号输出应正常；</w:t>
            </w:r>
          </w:p>
          <w:p>
            <w:pPr>
              <w:pStyle w:val="null3"/>
              <w:ind w:firstLine="480"/>
            </w:pPr>
            <w:r>
              <w:rPr>
                <w:rFonts w:ascii="仿宋_GB2312" w:hAnsi="仿宋_GB2312" w:cs="仿宋_GB2312" w:eastAsia="仿宋_GB2312"/>
              </w:rPr>
              <w:t>5)雨量信号线连接应牢固可靠；</w:t>
            </w:r>
          </w:p>
          <w:p>
            <w:pPr>
              <w:pStyle w:val="null3"/>
              <w:ind w:firstLine="480"/>
            </w:pPr>
            <w:r>
              <w:rPr>
                <w:rFonts w:ascii="仿宋_GB2312" w:hAnsi="仿宋_GB2312" w:cs="仿宋_GB2312" w:eastAsia="仿宋_GB2312"/>
              </w:rPr>
              <w:t>6)每年汛期前检查维护时应开展注水试验，注水试验后应清除试验留存水量和试验数据；</w:t>
            </w:r>
          </w:p>
          <w:p>
            <w:pPr>
              <w:pStyle w:val="null3"/>
              <w:ind w:firstLine="480"/>
            </w:pPr>
            <w:r>
              <w:rPr>
                <w:rFonts w:ascii="仿宋_GB2312" w:hAnsi="仿宋_GB2312" w:cs="仿宋_GB2312" w:eastAsia="仿宋_GB2312"/>
              </w:rPr>
              <w:t>7)当降雨强度在0.1~4.0mm/min范围内变化时，测量误差不大于±4%。</w:t>
            </w:r>
          </w:p>
          <w:p>
            <w:pPr>
              <w:pStyle w:val="null3"/>
              <w:ind w:firstLine="480"/>
            </w:pPr>
            <w:r>
              <w:rPr>
                <w:rFonts w:ascii="仿宋_GB2312" w:hAnsi="仿宋_GB2312" w:cs="仿宋_GB2312" w:eastAsia="仿宋_GB2312"/>
              </w:rPr>
              <w:t>B.遥测终端机及通信设备：</w:t>
            </w:r>
          </w:p>
          <w:p>
            <w:pPr>
              <w:pStyle w:val="null3"/>
              <w:ind w:firstLine="480"/>
            </w:pPr>
            <w:r>
              <w:rPr>
                <w:rFonts w:ascii="仿宋_GB2312" w:hAnsi="仿宋_GB2312" w:cs="仿宋_GB2312" w:eastAsia="仿宋_GB2312"/>
              </w:rPr>
              <w:t>1)每年应进行不少于1次遥测终端机及通信设备的检查维护；</w:t>
            </w:r>
          </w:p>
          <w:p>
            <w:pPr>
              <w:pStyle w:val="null3"/>
              <w:ind w:firstLine="480"/>
            </w:pPr>
            <w:r>
              <w:rPr>
                <w:rFonts w:ascii="仿宋_GB2312" w:hAnsi="仿宋_GB2312" w:cs="仿宋_GB2312" w:eastAsia="仿宋_GB2312"/>
              </w:rPr>
              <w:t>2)遥测终端机外观应无破损、锈蚀，密封良好；</w:t>
            </w:r>
          </w:p>
          <w:p>
            <w:pPr>
              <w:pStyle w:val="null3"/>
              <w:ind w:firstLine="480"/>
            </w:pPr>
            <w:r>
              <w:rPr>
                <w:rFonts w:ascii="仿宋_GB2312" w:hAnsi="仿宋_GB2312" w:cs="仿宋_GB2312" w:eastAsia="仿宋_GB2312"/>
              </w:rPr>
              <w:t>3)遥测终端机的电源线、数据线连接应牢固可靠；</w:t>
            </w:r>
          </w:p>
          <w:p>
            <w:pPr>
              <w:pStyle w:val="null3"/>
              <w:ind w:firstLine="480"/>
            </w:pPr>
            <w:r>
              <w:rPr>
                <w:rFonts w:ascii="仿宋_GB2312" w:hAnsi="仿宋_GB2312" w:cs="仿宋_GB2312" w:eastAsia="仿宋_GB2312"/>
              </w:rPr>
              <w:t>4)遥测终端机应能自动采集、存储、传输数据；</w:t>
            </w:r>
          </w:p>
          <w:p>
            <w:pPr>
              <w:pStyle w:val="null3"/>
              <w:ind w:firstLine="480"/>
            </w:pPr>
            <w:r>
              <w:rPr>
                <w:rFonts w:ascii="仿宋_GB2312" w:hAnsi="仿宋_GB2312" w:cs="仿宋_GB2312" w:eastAsia="仿宋_GB2312"/>
              </w:rPr>
              <w:t>5)遥测终端机应能获取基准时钟自动校时，校时误差应满足要求；</w:t>
            </w:r>
          </w:p>
          <w:p>
            <w:pPr>
              <w:pStyle w:val="null3"/>
              <w:ind w:firstLine="480"/>
            </w:pPr>
            <w:r>
              <w:rPr>
                <w:rFonts w:ascii="仿宋_GB2312" w:hAnsi="仿宋_GB2312" w:cs="仿宋_GB2312" w:eastAsia="仿宋_GB2312"/>
              </w:rPr>
              <w:t>6)通信设备的电源线、数据线、天馈线连接应牢固可靠；</w:t>
            </w:r>
          </w:p>
          <w:p>
            <w:pPr>
              <w:pStyle w:val="null3"/>
              <w:ind w:firstLine="480"/>
            </w:pPr>
            <w:r>
              <w:rPr>
                <w:rFonts w:ascii="仿宋_GB2312" w:hAnsi="仿宋_GB2312" w:cs="仿宋_GB2312" w:eastAsia="仿宋_GB2312"/>
              </w:rPr>
              <w:t>7)通信设备应能正常通信，有主、备信道的应能正常切换。</w:t>
            </w:r>
          </w:p>
          <w:p>
            <w:pPr>
              <w:pStyle w:val="null3"/>
              <w:ind w:firstLine="480"/>
            </w:pPr>
            <w:r>
              <w:rPr>
                <w:rFonts w:ascii="仿宋_GB2312" w:hAnsi="仿宋_GB2312" w:cs="仿宋_GB2312" w:eastAsia="仿宋_GB2312"/>
              </w:rPr>
              <w:t>C.电源与防雷：</w:t>
            </w:r>
          </w:p>
          <w:p>
            <w:pPr>
              <w:pStyle w:val="null3"/>
              <w:ind w:firstLine="480"/>
            </w:pPr>
            <w:r>
              <w:rPr>
                <w:rFonts w:ascii="仿宋_GB2312" w:hAnsi="仿宋_GB2312" w:cs="仿宋_GB2312" w:eastAsia="仿宋_GB2312"/>
              </w:rPr>
              <w:t>1)电池负载电压应不低于电池额定电压，不满足要求应更换电池；</w:t>
            </w:r>
          </w:p>
          <w:p>
            <w:pPr>
              <w:pStyle w:val="null3"/>
              <w:ind w:firstLine="480"/>
            </w:pPr>
            <w:r>
              <w:rPr>
                <w:rFonts w:ascii="仿宋_GB2312" w:hAnsi="仿宋_GB2312" w:cs="仿宋_GB2312" w:eastAsia="仿宋_GB2312"/>
              </w:rPr>
              <w:t>2)充电控制器应保证充电电流、输出电压正常；</w:t>
            </w:r>
          </w:p>
          <w:p>
            <w:pPr>
              <w:pStyle w:val="null3"/>
              <w:ind w:firstLine="480"/>
            </w:pPr>
            <w:r>
              <w:rPr>
                <w:rFonts w:ascii="仿宋_GB2312" w:hAnsi="仿宋_GB2312" w:cs="仿宋_GB2312" w:eastAsia="仿宋_GB2312"/>
              </w:rPr>
              <w:t>3)太阳能板受光面应保持洁净，开路电压正常；</w:t>
            </w:r>
          </w:p>
          <w:p>
            <w:pPr>
              <w:pStyle w:val="null3"/>
              <w:ind w:firstLine="480"/>
            </w:pPr>
            <w:r>
              <w:rPr>
                <w:rFonts w:ascii="仿宋_GB2312" w:hAnsi="仿宋_GB2312" w:cs="仿宋_GB2312" w:eastAsia="仿宋_GB2312"/>
              </w:rPr>
              <w:t>4)避雷针与接地体（网）连接应牢固，接地电阻应小于10Ω,不符合要求应做记录并处置。</w:t>
            </w:r>
          </w:p>
          <w:p>
            <w:pPr>
              <w:pStyle w:val="null3"/>
              <w:ind w:firstLine="480"/>
            </w:pPr>
            <w:r>
              <w:rPr>
                <w:rFonts w:ascii="仿宋_GB2312" w:hAnsi="仿宋_GB2312" w:cs="仿宋_GB2312" w:eastAsia="仿宋_GB2312"/>
              </w:rPr>
              <w:t>D.投入式水位计：</w:t>
            </w:r>
          </w:p>
          <w:p>
            <w:pPr>
              <w:pStyle w:val="null3"/>
              <w:ind w:firstLine="480"/>
            </w:pPr>
            <w:r>
              <w:rPr>
                <w:rFonts w:ascii="仿宋_GB2312" w:hAnsi="仿宋_GB2312" w:cs="仿宋_GB2312" w:eastAsia="仿宋_GB2312"/>
              </w:rPr>
              <w:t>1)探头完整性：传感器膜片表面无藻类附着或机械损伤，每半年使用无水乙醇清洗防护层。</w:t>
            </w:r>
          </w:p>
          <w:p>
            <w:pPr>
              <w:pStyle w:val="null3"/>
              <w:ind w:firstLine="480"/>
            </w:pPr>
            <w:r>
              <w:rPr>
                <w:rFonts w:ascii="仿宋_GB2312" w:hAnsi="仿宋_GB2312" w:cs="仿宋_GB2312" w:eastAsia="仿宋_GB2312"/>
              </w:rPr>
              <w:t>2)安装规范性：电源、数据线连接应牢固可靠。</w:t>
            </w:r>
          </w:p>
          <w:p>
            <w:pPr>
              <w:pStyle w:val="null3"/>
              <w:ind w:firstLine="480"/>
            </w:pPr>
            <w:r>
              <w:rPr>
                <w:rFonts w:ascii="仿宋_GB2312" w:hAnsi="仿宋_GB2312" w:cs="仿宋_GB2312" w:eastAsia="仿宋_GB2312"/>
              </w:rPr>
              <w:t>3)淤积监测：每年对探头固定状态和泥沙淤积情况的检查应不少于1次，淤积时应采取措施保证水位采集正常。</w:t>
            </w:r>
          </w:p>
          <w:p>
            <w:pPr>
              <w:pStyle w:val="null3"/>
              <w:ind w:firstLine="480"/>
            </w:pPr>
            <w:r>
              <w:rPr>
                <w:rFonts w:ascii="仿宋_GB2312" w:hAnsi="仿宋_GB2312" w:cs="仿宋_GB2312" w:eastAsia="仿宋_GB2312"/>
              </w:rPr>
              <w:t>4)校准管理：探头重新部署后需进行静水压力对比试验，数据一致性要求≥99%。</w:t>
            </w:r>
          </w:p>
          <w:p>
            <w:pPr>
              <w:pStyle w:val="null3"/>
              <w:ind w:firstLine="480"/>
            </w:pPr>
            <w:r>
              <w:rPr>
                <w:rFonts w:ascii="仿宋_GB2312" w:hAnsi="仿宋_GB2312" w:cs="仿宋_GB2312" w:eastAsia="仿宋_GB2312"/>
              </w:rPr>
              <w:t>E.雷达式水位计：</w:t>
            </w:r>
          </w:p>
          <w:p>
            <w:pPr>
              <w:pStyle w:val="null3"/>
              <w:ind w:firstLine="480"/>
            </w:pPr>
            <w:r>
              <w:rPr>
                <w:rFonts w:ascii="仿宋_GB2312" w:hAnsi="仿宋_GB2312" w:cs="仿宋_GB2312" w:eastAsia="仿宋_GB2312"/>
              </w:rPr>
              <w:t>1)安装几何精度：探头轴线与水平面垂直度偏差≤0.5°，波束照射区域无漂浮物遮挡。</w:t>
            </w:r>
          </w:p>
          <w:p>
            <w:pPr>
              <w:pStyle w:val="null3"/>
              <w:ind w:firstLine="480"/>
            </w:pPr>
            <w:r>
              <w:rPr>
                <w:rFonts w:ascii="仿宋_GB2312" w:hAnsi="仿宋_GB2312" w:cs="仿宋_GB2312" w:eastAsia="仿宋_GB2312"/>
              </w:rPr>
              <w:t>2)结构稳定性：立杆、基座、固定件应牢固可靠，无锈蚀、变形。</w:t>
            </w:r>
          </w:p>
          <w:p>
            <w:pPr>
              <w:pStyle w:val="null3"/>
              <w:ind w:firstLine="480"/>
            </w:pPr>
            <w:r>
              <w:rPr>
                <w:rFonts w:ascii="仿宋_GB2312" w:hAnsi="仿宋_GB2312" w:cs="仿宋_GB2312" w:eastAsia="仿宋_GB2312"/>
              </w:rPr>
              <w:t>3)数据质量保障：开展水位比测，误差精度≤±2cm。</w:t>
            </w:r>
          </w:p>
          <w:p>
            <w:pPr>
              <w:pStyle w:val="null3"/>
              <w:ind w:firstLine="480"/>
            </w:pPr>
            <w:r>
              <w:rPr>
                <w:rFonts w:ascii="仿宋_GB2312" w:hAnsi="仿宋_GB2312" w:cs="仿宋_GB2312" w:eastAsia="仿宋_GB2312"/>
                <w:b/>
              </w:rPr>
              <w:t>（二</w:t>
            </w:r>
            <w:r>
              <w:rPr>
                <w:rFonts w:ascii="仿宋_GB2312" w:hAnsi="仿宋_GB2312" w:cs="仿宋_GB2312" w:eastAsia="仿宋_GB2312"/>
                <w:b/>
              </w:rPr>
              <w:t>）</w:t>
            </w:r>
            <w:r>
              <w:rPr>
                <w:rFonts w:ascii="仿宋_GB2312" w:hAnsi="仿宋_GB2312" w:cs="仿宋_GB2312" w:eastAsia="仿宋_GB2312"/>
                <w:b/>
              </w:rPr>
              <w:t>10</w:t>
            </w:r>
            <w:r>
              <w:rPr>
                <w:rFonts w:ascii="仿宋_GB2312" w:hAnsi="仿宋_GB2312" w:cs="仿宋_GB2312" w:eastAsia="仿宋_GB2312"/>
                <w:b/>
              </w:rPr>
              <w:t>处</w:t>
            </w:r>
            <w:r>
              <w:rPr>
                <w:rFonts w:ascii="仿宋_GB2312" w:hAnsi="仿宋_GB2312" w:cs="仿宋_GB2312" w:eastAsia="仿宋_GB2312"/>
                <w:b/>
              </w:rPr>
              <w:t>河道水位站改造提升</w:t>
            </w:r>
          </w:p>
          <w:p>
            <w:pPr>
              <w:pStyle w:val="null3"/>
              <w:ind w:firstLine="480"/>
            </w:pPr>
            <w:r>
              <w:rPr>
                <w:rFonts w:ascii="仿宋_GB2312" w:hAnsi="仿宋_GB2312" w:cs="仿宋_GB2312" w:eastAsia="仿宋_GB2312"/>
              </w:rPr>
              <w:t>1、目标</w:t>
            </w:r>
          </w:p>
          <w:p>
            <w:pPr>
              <w:pStyle w:val="null3"/>
              <w:ind w:firstLine="480"/>
            </w:pPr>
            <w:r>
              <w:rPr>
                <w:rFonts w:ascii="仿宋_GB2312" w:hAnsi="仿宋_GB2312" w:cs="仿宋_GB2312" w:eastAsia="仿宋_GB2312"/>
              </w:rPr>
              <w:t>为进一步完善山洪灾害监测体系，根据河道水情监测需要将现有10处河道水位站提升为河道流量站。本项目充分利旧，依托现有监测立杆及供电等设备安装，其中一处站点需要进行迁移，并增加横臂，迁移位置选择在河道顺直、河床稳定和水流集中的河段，满足相关技术标准及流量计采集需求。通过安装适配河道复杂工况的雷达测流设备，加密河道水位流量测站布局，填补监测盲区，实现对河道流量的实时、精准监测，为防汛调度、山洪灾害预警提供可靠的数据支撑，最大程度降低山洪灾害带来的损失。</w:t>
            </w:r>
          </w:p>
          <w:p>
            <w:pPr>
              <w:pStyle w:val="null3"/>
              <w:ind w:firstLine="480"/>
            </w:pPr>
            <w:r>
              <w:rPr>
                <w:rFonts w:ascii="仿宋_GB2312" w:hAnsi="仿宋_GB2312" w:cs="仿宋_GB2312" w:eastAsia="仿宋_GB2312"/>
              </w:rPr>
              <w:t>2、范围</w:t>
            </w:r>
          </w:p>
          <w:p>
            <w:pPr>
              <w:pStyle w:val="null3"/>
            </w:pPr>
            <w:r>
              <w:rPr>
                <w:rFonts w:ascii="仿宋_GB2312" w:hAnsi="仿宋_GB2312" w:cs="仿宋_GB2312" w:eastAsia="仿宋_GB2312"/>
              </w:rPr>
              <w:t xml:space="preserve">           本次改造项目涉及10处现有河道水位站，具体分布于皂河、漕运明渠、太平河、就峪河、沣峪口、幸福渠等河段。改造内容主要包括雷达测流设备的采购、安装、调试，以及现有监测系统的升级与整合。具体测站名单如下：</w:t>
            </w:r>
          </w:p>
          <w:tbl>
            <w:tblPr>
              <w:tblBorders>
                <w:top w:val="none" w:color="000000" w:sz="4"/>
                <w:left w:val="none" w:color="000000" w:sz="4"/>
                <w:bottom w:val="none" w:color="000000" w:sz="4"/>
                <w:right w:val="none" w:color="000000" w:sz="4"/>
                <w:insideH w:val="none"/>
                <w:insideV w:val="none"/>
              </w:tblBorders>
            </w:tblPr>
            <w:tblGrid>
              <w:gridCol w:w="282"/>
              <w:gridCol w:w="667"/>
              <w:gridCol w:w="1180"/>
            </w:tblGrid>
            <w:tr>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6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测站名称</w:t>
                  </w:r>
                </w:p>
              </w:tc>
              <w:tc>
                <w:tcPr>
                  <w:tcW w:type="dxa" w:w="1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安装方式</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皂河*</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桥梁支架</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漕运明渠*</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桥梁支架</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太平河8号管理站*</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桥梁支架</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就峪河*</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桥梁支架</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沣峪口*</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立杆安装</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耿峪口*</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立杆安装</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幸福渠*</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立杆安装</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皂河（昆明路）*</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立杆安装</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9</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库峪口*</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需移站并增加横臂</w:t>
                  </w:r>
                </w:p>
              </w:tc>
            </w:tr>
            <w:tr>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10</w:t>
                  </w:r>
                </w:p>
              </w:tc>
              <w:tc>
                <w:tcPr>
                  <w:tcW w:type="dxa" w:w="6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鸣犊*</w:t>
                  </w:r>
                </w:p>
              </w:tc>
              <w:tc>
                <w:tcPr>
                  <w:tcW w:type="dxa" w:w="1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立杆安装</w:t>
                  </w:r>
                </w:p>
              </w:tc>
            </w:tr>
          </w:tbl>
          <w:p>
            <w:pPr>
              <w:pStyle w:val="null3"/>
              <w:ind w:firstLine="480"/>
            </w:pPr>
            <w:r>
              <w:rPr>
                <w:rFonts w:ascii="仿宋_GB2312" w:hAnsi="仿宋_GB2312" w:cs="仿宋_GB2312" w:eastAsia="仿宋_GB2312"/>
              </w:rPr>
              <w:t>3、设备功能需求</w:t>
            </w:r>
          </w:p>
          <w:p>
            <w:pPr>
              <w:pStyle w:val="null3"/>
              <w:ind w:firstLine="480"/>
            </w:pPr>
            <w:r>
              <w:rPr>
                <w:rFonts w:ascii="仿宋_GB2312" w:hAnsi="仿宋_GB2312" w:cs="仿宋_GB2312" w:eastAsia="仿宋_GB2312"/>
              </w:rPr>
              <w:t>所选设备必须采用雷达测流技术，具备高精度、非接触、抗干扰等特点。具体功能需求如下：</w:t>
            </w:r>
          </w:p>
          <w:p>
            <w:pPr>
              <w:pStyle w:val="null3"/>
              <w:ind w:firstLine="480"/>
            </w:pPr>
            <w:r>
              <w:rPr>
                <w:rFonts w:ascii="仿宋_GB2312" w:hAnsi="仿宋_GB2312" w:cs="仿宋_GB2312" w:eastAsia="仿宋_GB2312"/>
              </w:rPr>
              <w:t>（1）高精度监测：流量测量精度应达到±0.01m/s 或 ±1% F.S，能够准确捕捉河道流量的细微变化。</w:t>
            </w:r>
          </w:p>
          <w:p>
            <w:pPr>
              <w:pStyle w:val="null3"/>
              <w:ind w:firstLine="480"/>
            </w:pPr>
            <w:r>
              <w:rPr>
                <w:rFonts w:ascii="仿宋_GB2312" w:hAnsi="仿宋_GB2312" w:cs="仿宋_GB2312" w:eastAsia="仿宋_GB2312"/>
              </w:rPr>
              <w:t>（2）复杂工况适配：适应河道泥沙含量高、水面漂浮物多、水位骤升骤降等复杂工况，确保在恶劣环境下稳定运行。</w:t>
            </w:r>
          </w:p>
          <w:p>
            <w:pPr>
              <w:pStyle w:val="null3"/>
              <w:ind w:firstLine="480"/>
            </w:pPr>
            <w:r>
              <w:rPr>
                <w:rFonts w:ascii="仿宋_GB2312" w:hAnsi="仿宋_GB2312" w:cs="仿宋_GB2312" w:eastAsia="仿宋_GB2312"/>
              </w:rPr>
              <w:t>（3）非接触式测量：无需接触水体即可完成流量监测，避免设备被水流冲刷、腐蚀，降低维护成本。</w:t>
            </w:r>
          </w:p>
          <w:p>
            <w:pPr>
              <w:pStyle w:val="null3"/>
              <w:ind w:firstLine="480"/>
            </w:pPr>
            <w:r>
              <w:rPr>
                <w:rFonts w:ascii="仿宋_GB2312" w:hAnsi="仿宋_GB2312" w:cs="仿宋_GB2312" w:eastAsia="仿宋_GB2312"/>
              </w:rPr>
              <w:t>（4）抗干扰能力：具备抗电磁干扰、抗风雨干扰能力，保证监测数据的稳定性和可靠性。</w:t>
            </w:r>
          </w:p>
          <w:p>
            <w:pPr>
              <w:pStyle w:val="null3"/>
              <w:ind w:firstLine="480"/>
            </w:pPr>
            <w:r>
              <w:rPr>
                <w:rFonts w:ascii="仿宋_GB2312" w:hAnsi="仿宋_GB2312" w:cs="仿宋_GB2312" w:eastAsia="仿宋_GB2312"/>
              </w:rPr>
              <w:t>（5）数据传输功能：支持485信号传输，能够匹配当前遥测终端，将实时监测数据传输至数据接收平台。</w:t>
            </w:r>
          </w:p>
          <w:p>
            <w:pPr>
              <w:pStyle w:val="null3"/>
              <w:ind w:firstLine="480"/>
            </w:pPr>
            <w:r>
              <w:rPr>
                <w:rFonts w:ascii="仿宋_GB2312" w:hAnsi="仿宋_GB2312" w:cs="仿宋_GB2312" w:eastAsia="仿宋_GB2312"/>
              </w:rPr>
              <w:t>4、设备安装</w:t>
            </w:r>
          </w:p>
          <w:p>
            <w:pPr>
              <w:pStyle w:val="null3"/>
              <w:ind w:firstLine="480"/>
            </w:pPr>
            <w:r>
              <w:rPr>
                <w:rFonts w:ascii="仿宋_GB2312" w:hAnsi="仿宋_GB2312" w:cs="仿宋_GB2312" w:eastAsia="仿宋_GB2312"/>
              </w:rPr>
              <w:t>（1）安装前准备：对现有监测立杆、供电设备进行全面检查与维护，确保其性能稳定，满足设备安装要求。同时，对河道断面进行测量，确定设备安装位置与角度，保证监测数据的准确性。</w:t>
            </w:r>
          </w:p>
          <w:p>
            <w:pPr>
              <w:pStyle w:val="null3"/>
              <w:ind w:firstLine="480"/>
            </w:pPr>
            <w:r>
              <w:rPr>
                <w:rFonts w:ascii="仿宋_GB2312" w:hAnsi="仿宋_GB2312" w:cs="仿宋_GB2312" w:eastAsia="仿宋_GB2312"/>
              </w:rPr>
              <w:t>（2）设备安装：在现有监测立杆上安装雷达测流设备，严格按照设备安装手册进行操作，确保设备安装牢固、角度精准。安装完成后，对设备进行初步调试，检查设备各项功能是否正常。</w:t>
            </w:r>
          </w:p>
          <w:p>
            <w:pPr>
              <w:pStyle w:val="null3"/>
              <w:ind w:firstLine="480"/>
            </w:pPr>
            <w:r>
              <w:rPr>
                <w:rFonts w:ascii="仿宋_GB2312" w:hAnsi="仿宋_GB2312" w:cs="仿宋_GB2312" w:eastAsia="仿宋_GB2312"/>
              </w:rPr>
              <w:t>（3）供电系统改造：根据设备功率需求，对现有供电系统进行优化升级，必要时加装太阳能供电设备或电源，确保设备在阴雨天7日内仍能正常运行。</w:t>
            </w:r>
          </w:p>
          <w:p>
            <w:pPr>
              <w:pStyle w:val="null3"/>
              <w:ind w:firstLine="480"/>
            </w:pPr>
            <w:r>
              <w:rPr>
                <w:rFonts w:ascii="仿宋_GB2312" w:hAnsi="仿宋_GB2312" w:cs="仿宋_GB2312" w:eastAsia="仿宋_GB2312"/>
                <w:b/>
              </w:rPr>
              <w:t>（三）4处站点重建</w:t>
            </w:r>
          </w:p>
          <w:p>
            <w:pPr>
              <w:pStyle w:val="null3"/>
              <w:ind w:firstLine="480"/>
            </w:pPr>
            <w:r>
              <w:rPr>
                <w:rFonts w:ascii="仿宋_GB2312" w:hAnsi="仿宋_GB2312" w:cs="仿宋_GB2312" w:eastAsia="仿宋_GB2312"/>
              </w:rPr>
              <w:t>受极端强降雨影响，姜家坪雨量站、头道峡雨量站被水毁，耿峪雨量站、耿镇雨量站设备丢失。为保障区域水文数据连续性，支撑山洪灾害防御、管理等工作，需对上述4处站点尽快进行恢复。</w:t>
            </w:r>
          </w:p>
          <w:p>
            <w:pPr>
              <w:pStyle w:val="null3"/>
              <w:ind w:firstLine="480"/>
            </w:pPr>
            <w:r>
              <w:rPr>
                <w:rFonts w:ascii="仿宋_GB2312" w:hAnsi="仿宋_GB2312" w:cs="仿宋_GB2312" w:eastAsia="仿宋_GB2312"/>
              </w:rPr>
              <w:t>1、站点基本情况</w:t>
            </w:r>
          </w:p>
          <w:p>
            <w:pPr>
              <w:pStyle w:val="null3"/>
              <w:ind w:firstLine="480"/>
            </w:pPr>
            <w:r>
              <w:rPr>
                <w:rFonts w:ascii="仿宋_GB2312" w:hAnsi="仿宋_GB2312" w:cs="仿宋_GB2312" w:eastAsia="仿宋_GB2312"/>
              </w:rPr>
              <w:t>耿峪、耿镇、姜家坪雨量站：原采用GPRS通讯方式，需重新选址并布设监测设备。</w:t>
            </w:r>
          </w:p>
          <w:p>
            <w:pPr>
              <w:pStyle w:val="null3"/>
              <w:ind w:firstLine="480"/>
            </w:pPr>
            <w:r>
              <w:rPr>
                <w:rFonts w:ascii="仿宋_GB2312" w:hAnsi="仿宋_GB2312" w:cs="仿宋_GB2312" w:eastAsia="仿宋_GB2312"/>
              </w:rPr>
              <w:t>头道峡雨量站：原采用卫星通讯方式，地处偏远山区，因河道涨水导致站点损坏。</w:t>
            </w:r>
          </w:p>
          <w:p>
            <w:pPr>
              <w:pStyle w:val="null3"/>
              <w:ind w:firstLine="480"/>
            </w:pPr>
            <w:r>
              <w:rPr>
                <w:rFonts w:ascii="仿宋_GB2312" w:hAnsi="仿宋_GB2312" w:cs="仿宋_GB2312" w:eastAsia="仿宋_GB2312"/>
              </w:rPr>
              <w:t>2、选址勘察</w:t>
            </w:r>
          </w:p>
          <w:p>
            <w:pPr>
              <w:pStyle w:val="null3"/>
              <w:ind w:firstLine="480"/>
            </w:pPr>
            <w:r>
              <w:rPr>
                <w:rFonts w:ascii="仿宋_GB2312" w:hAnsi="仿宋_GB2312" w:cs="仿宋_GB2312" w:eastAsia="仿宋_GB2312"/>
              </w:rPr>
              <w:t>根据监测网络总体布局，在原站点周边500m范围内开展选址工作，选址需满足：应避开强风区，其周围应空旷、平坦，不受突变地形、树木和建筑物的影响。不能完全避开建筑物、树木等障碍物的影响时，雨量器(计)至障碍物边缘的距离应大于障碍物顶部与承雨器口高差的2倍。在山区，不宜设在陡坡上、峡谷内和风口处，应选择相对平坦的位置，使承雨器口至山顶的仰角不大于30°。</w:t>
            </w:r>
          </w:p>
          <w:p>
            <w:pPr>
              <w:pStyle w:val="null3"/>
              <w:ind w:firstLine="480"/>
            </w:pPr>
            <w:r>
              <w:rPr>
                <w:rFonts w:ascii="仿宋_GB2312" w:hAnsi="仿宋_GB2312" w:cs="仿宋_GB2312" w:eastAsia="仿宋_GB2312"/>
              </w:rPr>
              <w:t>开展全方位现场勘察：系统核实地形地貌特征、通信信号覆盖强度、地质结构稳定性，形成包含勘察数据、现场影像、合规性分析的专项勘察报告，报市水务局备案留存。</w:t>
            </w:r>
          </w:p>
          <w:p>
            <w:pPr>
              <w:pStyle w:val="null3"/>
              <w:ind w:firstLine="480"/>
            </w:pPr>
            <w:r>
              <w:rPr>
                <w:rFonts w:ascii="仿宋_GB2312" w:hAnsi="仿宋_GB2312" w:cs="仿宋_GB2312" w:eastAsia="仿宋_GB2312"/>
              </w:rPr>
              <w:t>3、施工规范</w:t>
            </w:r>
          </w:p>
          <w:p>
            <w:pPr>
              <w:pStyle w:val="null3"/>
              <w:ind w:firstLine="480"/>
            </w:pPr>
            <w:r>
              <w:rPr>
                <w:rFonts w:ascii="仿宋_GB2312" w:hAnsi="仿宋_GB2312" w:cs="仿宋_GB2312" w:eastAsia="仿宋_GB2312"/>
              </w:rPr>
              <w:t>（1）混凝土基础：采用1.2m×1.2m×1.0m 钢筋混凝土基座（C25标号），预埋地脚螺栓或法兰盘，用于固定立杆。基础顶部高出地面10–15cm，周边设排水坡，防止积水侵蚀。</w:t>
            </w:r>
          </w:p>
          <w:p>
            <w:pPr>
              <w:pStyle w:val="null3"/>
              <w:ind w:firstLine="480"/>
            </w:pPr>
            <w:r>
              <w:rPr>
                <w:rFonts w:ascii="仿宋_GB2312" w:hAnsi="仿宋_GB2312" w:cs="仿宋_GB2312" w:eastAsia="仿宋_GB2312"/>
              </w:rPr>
              <w:t>（2）不锈钢立杆：选用Φ89mm热镀锌钢管，壁厚≥4mm，高度 3.5–4.5米，垂直安装于基础之上。杆体预留多层抱箍位，用于安装设备箱、传感器支架及太阳能板支撑臂。</w:t>
            </w:r>
          </w:p>
          <w:p>
            <w:pPr>
              <w:pStyle w:val="null3"/>
              <w:ind w:firstLine="480"/>
            </w:pPr>
            <w:r>
              <w:rPr>
                <w:rFonts w:ascii="仿宋_GB2312" w:hAnsi="仿宋_GB2312" w:cs="仿宋_GB2312" w:eastAsia="仿宋_GB2312"/>
              </w:rPr>
              <w:t>（3）翻斗式雨量计：安装于立杆顶部悬臂，承雨口距地面3.0米（西安地区推荐高度），水平校准，周边3米内无遮挡物。配备防风圈与防水接线盒，信号线沿立杆内腔敷设。</w:t>
            </w:r>
          </w:p>
          <w:p>
            <w:pPr>
              <w:pStyle w:val="null3"/>
              <w:ind w:firstLine="480"/>
            </w:pPr>
            <w:r>
              <w:rPr>
                <w:rFonts w:ascii="仿宋_GB2312" w:hAnsi="仿宋_GB2312" w:cs="仿宋_GB2312" w:eastAsia="仿宋_GB2312"/>
              </w:rPr>
              <w:t>（4）防水设备箱：挂装于立杆 1.8–2.2米高度，IP65防护等级不锈钢箱体，内含：数据采集终端（RTU）、充电控制器与蓄电池、箱体接地端子与立杆防雷系统共地连接。集成于设备箱内部，北斗终端安装于箱顶或立杆上部，朝南无遮挡，确保对北斗卫星信号稳定接收，满足汛期应急传输需求。</w:t>
            </w:r>
          </w:p>
          <w:p>
            <w:pPr>
              <w:pStyle w:val="null3"/>
              <w:ind w:firstLine="480"/>
            </w:pPr>
            <w:r>
              <w:rPr>
                <w:rFonts w:ascii="仿宋_GB2312" w:hAnsi="仿宋_GB2312" w:cs="仿宋_GB2312" w:eastAsia="仿宋_GB2312"/>
              </w:rPr>
              <w:t>（5）太阳能供电系统：太阳能板功率≥80W，安装于立杆顶端，倾斜角35°（匹配西安纬度），朝南偏西5°–10°。配备蓄电池电池，支持连续阴雨7天运行。</w:t>
            </w:r>
          </w:p>
          <w:p>
            <w:pPr>
              <w:pStyle w:val="null3"/>
              <w:ind w:firstLine="480"/>
            </w:pPr>
            <w:r>
              <w:rPr>
                <w:rFonts w:ascii="仿宋_GB2312" w:hAnsi="仿宋_GB2312" w:cs="仿宋_GB2312" w:eastAsia="仿宋_GB2312"/>
              </w:rPr>
              <w:t>（6）防雷与接地系统：立杆顶部设避雷针，接地体采用12mm镀锌圆钢，埋深≥0.6m，接地电阻≤10Ω。</w:t>
            </w:r>
          </w:p>
          <w:p>
            <w:pPr>
              <w:pStyle w:val="null3"/>
            </w:pPr>
            <w:r>
              <w:rPr>
                <w:rFonts w:ascii="仿宋_GB2312" w:hAnsi="仿宋_GB2312" w:cs="仿宋_GB2312" w:eastAsia="仿宋_GB2312"/>
              </w:rPr>
              <w:t xml:space="preserve">           （7）安装结构示意图参考：</w:t>
            </w:r>
          </w:p>
          <w:p>
            <w:pPr>
              <w:pStyle w:val="null3"/>
              <w:jc w:val="center"/>
            </w:pPr>
            <w:r>
              <w:drawing>
                <wp:inline distT="0" distR="0" distB="0" distL="0">
                  <wp:extent cx="1621155" cy="1767376"/>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767376"/>
                          </a:xfrm>
                          <a:prstGeom prst="rect">
                            <a:avLst/>
                          </a:prstGeom>
                        </pic:spPr>
                      </pic:pic>
                    </a:graphicData>
                  </a:graphic>
                </wp:inline>
              </w:drawing>
            </w:r>
          </w:p>
          <w:p>
            <w:pPr>
              <w:pStyle w:val="null3"/>
              <w:ind w:firstLine="480"/>
            </w:pPr>
            <w:r>
              <w:rPr>
                <w:rFonts w:ascii="仿宋_GB2312" w:hAnsi="仿宋_GB2312" w:cs="仿宋_GB2312" w:eastAsia="仿宋_GB2312"/>
              </w:rPr>
              <w:t>4、联调验收</w:t>
            </w:r>
          </w:p>
          <w:p>
            <w:pPr>
              <w:pStyle w:val="null3"/>
              <w:ind w:firstLine="480"/>
            </w:pPr>
            <w:r>
              <w:rPr>
                <w:rFonts w:ascii="仿宋_GB2312" w:hAnsi="仿宋_GB2312" w:cs="仿宋_GB2312" w:eastAsia="仿宋_GB2312"/>
              </w:rPr>
              <w:t>（1）设备标准化配置：严格按照当前市级监测网络统一技术标准，根据不同站点类型，配置翻斗式雨量传感器、SL651协议RTU、水位计、太阳能供电系统（含高容量电池，无光照条件下续航≥7天）等。</w:t>
            </w:r>
          </w:p>
          <w:p>
            <w:pPr>
              <w:pStyle w:val="null3"/>
              <w:ind w:firstLine="480"/>
            </w:pPr>
            <w:r>
              <w:rPr>
                <w:rFonts w:ascii="仿宋_GB2312" w:hAnsi="仿宋_GB2312" w:cs="仿宋_GB2312" w:eastAsia="仿宋_GB2312"/>
              </w:rPr>
              <w:t>（2）安装技术要求：传感器安装水平度误差≤0.5°，RTU与通信模块采用密封式安装设计，电源线、信号线穿镀锌钢管防护，通信天线固定牢固且无遮挡，确保信号传输稳定。</w:t>
            </w:r>
          </w:p>
          <w:p>
            <w:pPr>
              <w:pStyle w:val="null3"/>
              <w:ind w:firstLine="480"/>
            </w:pPr>
            <w:r>
              <w:rPr>
                <w:rFonts w:ascii="仿宋_GB2312" w:hAnsi="仿宋_GB2312" w:cs="仿宋_GB2312" w:eastAsia="仿宋_GB2312"/>
              </w:rPr>
              <w:t>（3）全流程调试验收：依次开展通电稳定性测试、数据采集传输功能测试、标准量杯注水校准（误差值≤±2%），重点验证设备与市级监测平台的协议兼容性、数据实时上传时效性，验收合格后签署验收报告.</w:t>
            </w:r>
          </w:p>
          <w:p>
            <w:pPr>
              <w:pStyle w:val="null3"/>
              <w:ind w:firstLine="480"/>
            </w:pPr>
            <w:r>
              <w:rPr>
                <w:rFonts w:ascii="仿宋_GB2312" w:hAnsi="仿宋_GB2312" w:cs="仿宋_GB2312" w:eastAsia="仿宋_GB2312"/>
                <w:b/>
              </w:rPr>
              <w:t>（四）88处站点设备更新</w:t>
            </w:r>
          </w:p>
          <w:p>
            <w:pPr>
              <w:pStyle w:val="null3"/>
              <w:ind w:firstLine="480"/>
            </w:pPr>
            <w:r>
              <w:rPr>
                <w:rFonts w:ascii="仿宋_GB2312" w:hAnsi="仿宋_GB2312" w:cs="仿宋_GB2312" w:eastAsia="仿宋_GB2312"/>
              </w:rPr>
              <w:t>经排查，目前有88处站点（详见附件）的遥测终端为兰特遥测终端，采用的数据传输协议为兰特私有协议，当前设备老化且不支持水文SL651协议，现物联网平台不支持解析数据。</w:t>
            </w:r>
          </w:p>
          <w:p>
            <w:pPr>
              <w:pStyle w:val="null3"/>
              <w:ind w:firstLine="480"/>
            </w:pPr>
            <w:r>
              <w:rPr>
                <w:rFonts w:ascii="仿宋_GB2312" w:hAnsi="仿宋_GB2312" w:cs="仿宋_GB2312" w:eastAsia="仿宋_GB2312"/>
              </w:rPr>
              <w:t>1、前期筹备与技术适配</w:t>
            </w:r>
          </w:p>
          <w:p>
            <w:pPr>
              <w:pStyle w:val="null3"/>
              <w:ind w:firstLine="480"/>
            </w:pPr>
            <w:r>
              <w:rPr>
                <w:rFonts w:ascii="仿宋_GB2312" w:hAnsi="仿宋_GB2312" w:cs="仿宋_GB2312" w:eastAsia="仿宋_GB2312"/>
              </w:rPr>
              <w:t>设备选型标准：选用工业级高性能RTU设备，需支持当前系统主流传输协议（水文SL651协议）、兼容多类型传感器接口（RS485、模拟量、数字量）、具备主备通信信道自动切换功能，确保与原有传感器、供电系统完全适配，无需额外改造。</w:t>
            </w:r>
          </w:p>
          <w:p>
            <w:pPr>
              <w:pStyle w:val="null3"/>
              <w:ind w:firstLine="480"/>
            </w:pPr>
            <w:r>
              <w:rPr>
                <w:rFonts w:ascii="仿宋_GB2312" w:hAnsi="仿宋_GB2312" w:cs="仿宋_GB2312" w:eastAsia="仿宋_GB2312"/>
              </w:rPr>
              <w:t>2、现场更换与参数配置</w:t>
            </w:r>
          </w:p>
          <w:p>
            <w:pPr>
              <w:pStyle w:val="null3"/>
              <w:ind w:firstLine="480"/>
            </w:pPr>
            <w:r>
              <w:rPr>
                <w:rFonts w:ascii="仿宋_GB2312" w:hAnsi="仿宋_GB2312" w:cs="仿宋_GB2312" w:eastAsia="仿宋_GB2312"/>
              </w:rPr>
              <w:t>（1）标准化更换流程：按规范拆除老化RTU设备，清理灰尘与锈蚀，新设备采用螺栓固定，电源线、数据线按“颜色对应、标识清晰”原则接线。</w:t>
            </w:r>
          </w:p>
          <w:p>
            <w:pPr>
              <w:pStyle w:val="null3"/>
              <w:ind w:firstLine="480"/>
            </w:pPr>
            <w:r>
              <w:rPr>
                <w:rFonts w:ascii="仿宋_GB2312" w:hAnsi="仿宋_GB2312" w:cs="仿宋_GB2312" w:eastAsia="仿宋_GB2312"/>
              </w:rPr>
              <w:t>（2）精准参数配置：逐一录入站点唯一编号、通信协议参数、数据采集周期等核心配置信息，与市级监测平台开展全流程联调测试，验证数据采集、本地存储、远程传输功能正常，设备时钟自动校时误差≤30s/天。</w:t>
            </w:r>
          </w:p>
          <w:p>
            <w:pPr>
              <w:pStyle w:val="null3"/>
              <w:ind w:firstLine="402"/>
            </w:pPr>
            <w:r>
              <w:rPr>
                <w:rFonts w:ascii="仿宋_GB2312" w:hAnsi="仿宋_GB2312" w:cs="仿宋_GB2312" w:eastAsia="仿宋_GB2312"/>
                <w:b/>
              </w:rPr>
              <w:t>（五）85处站点运行状态评估</w:t>
            </w:r>
          </w:p>
          <w:p>
            <w:pPr>
              <w:pStyle w:val="null3"/>
              <w:ind w:firstLine="480"/>
            </w:pPr>
            <w:r>
              <w:rPr>
                <w:rFonts w:ascii="仿宋_GB2312" w:hAnsi="仿宋_GB2312" w:cs="仿宋_GB2312" w:eastAsia="仿宋_GB2312"/>
              </w:rPr>
              <w:t>1、评估背景</w:t>
            </w:r>
          </w:p>
          <w:p>
            <w:pPr>
              <w:pStyle w:val="null3"/>
              <w:ind w:firstLine="480"/>
            </w:pPr>
            <w:r>
              <w:rPr>
                <w:rFonts w:ascii="仿宋_GB2312" w:hAnsi="仿宋_GB2312" w:cs="仿宋_GB2312" w:eastAsia="仿宋_GB2312"/>
              </w:rPr>
              <w:t>雨量、水位站点是水文监测体系的关键组成部分，其数据的准确性、传输的稳定性直接关系到防汛抗旱、山洪灾害防御等多项工作的开展。为全面掌握雨量、水位站点的运行状态，保障监测数据的可靠性，此次对85处雨量、水位站点状态进行复核评估。</w:t>
            </w:r>
          </w:p>
          <w:p>
            <w:pPr>
              <w:pStyle w:val="null3"/>
              <w:ind w:firstLine="480"/>
            </w:pPr>
            <w:r>
              <w:rPr>
                <w:rFonts w:ascii="仿宋_GB2312" w:hAnsi="仿宋_GB2312" w:cs="仿宋_GB2312" w:eastAsia="仿宋_GB2312"/>
              </w:rPr>
              <w:t>2、评估目标</w:t>
            </w:r>
          </w:p>
          <w:p>
            <w:pPr>
              <w:pStyle w:val="null3"/>
              <w:ind w:firstLine="480"/>
            </w:pPr>
            <w:r>
              <w:rPr>
                <w:rFonts w:ascii="仿宋_GB2312" w:hAnsi="仿宋_GB2312" w:cs="仿宋_GB2312" w:eastAsia="仿宋_GB2312"/>
              </w:rPr>
              <w:t>西安市85处测站，准确掌握85处雨量、水位站点的整体运行状态，排查潜在故障与安全隐患。针对评估中发现的问题，提出切实可行的整改建议与优化方案，提升监测体系的整体效能。</w:t>
            </w:r>
          </w:p>
          <w:p>
            <w:pPr>
              <w:pStyle w:val="null3"/>
              <w:ind w:firstLine="480"/>
            </w:pPr>
            <w:r>
              <w:rPr>
                <w:rFonts w:ascii="仿宋_GB2312" w:hAnsi="仿宋_GB2312" w:cs="仿宋_GB2312" w:eastAsia="仿宋_GB2312"/>
              </w:rPr>
              <w:t>3、评估内容与流程</w:t>
            </w:r>
          </w:p>
          <w:p>
            <w:pPr>
              <w:pStyle w:val="null3"/>
              <w:ind w:firstLine="480"/>
            </w:pPr>
            <w:r>
              <w:rPr>
                <w:rFonts w:ascii="仿宋_GB2312" w:hAnsi="仿宋_GB2312" w:cs="仿宋_GB2312" w:eastAsia="仿宋_GB2312"/>
              </w:rPr>
              <w:t>（1）设备性能评估：检查传感器、RTU、通信模块等设备的运行状态，测试设备响应速度、数据存储能力，评估设备老化程度与故障风险。</w:t>
            </w:r>
          </w:p>
          <w:p>
            <w:pPr>
              <w:pStyle w:val="null3"/>
              <w:ind w:firstLine="480"/>
            </w:pPr>
            <w:r>
              <w:rPr>
                <w:rFonts w:ascii="仿宋_GB2312" w:hAnsi="仿宋_GB2312" w:cs="仿宋_GB2312" w:eastAsia="仿宋_GB2312"/>
              </w:rPr>
              <w:t>（2）设备精度校准：采用标准量杯、人工水尺等工具，对雨量、水位传感器进行精度校准，对比监测数据与实际值的误差，判断精度是否符合要求。</w:t>
            </w:r>
          </w:p>
          <w:p>
            <w:pPr>
              <w:pStyle w:val="null3"/>
              <w:ind w:firstLine="480"/>
            </w:pPr>
            <w:r>
              <w:rPr>
                <w:rFonts w:ascii="仿宋_GB2312" w:hAnsi="仿宋_GB2312" w:cs="仿宋_GB2312" w:eastAsia="仿宋_GB2312"/>
              </w:rPr>
              <w:t>（3）数据质量评估：调取近6个月的监测数据，分析数据的完整性、连续性、准确性，识别数据缺失、跳变、异常值等问题，评估数据质量。</w:t>
            </w:r>
          </w:p>
          <w:p>
            <w:pPr>
              <w:pStyle w:val="null3"/>
              <w:ind w:firstLine="480"/>
            </w:pPr>
            <w:r>
              <w:rPr>
                <w:rFonts w:ascii="仿宋_GB2312" w:hAnsi="仿宋_GB2312" w:cs="仿宋_GB2312" w:eastAsia="仿宋_GB2312"/>
              </w:rPr>
              <w:t>（4）环境适配性评估：检查站点周边地形、植被、建筑等环境变化对监测的影响，评估站点选址的合理性与设备防护措施的有效性。</w:t>
            </w:r>
          </w:p>
          <w:p>
            <w:pPr>
              <w:pStyle w:val="null3"/>
              <w:ind w:firstLine="480"/>
            </w:pPr>
            <w:r>
              <w:rPr>
                <w:rFonts w:ascii="仿宋_GB2312" w:hAnsi="仿宋_GB2312" w:cs="仿宋_GB2312" w:eastAsia="仿宋_GB2312"/>
              </w:rPr>
              <w:t>（5）形成评估报告：综合以上评估内容，形成包含站点运行状态、存在问题、整改建议的专项评估报告，为后续运维与改造提供依据。</w:t>
            </w:r>
          </w:p>
          <w:p>
            <w:pPr>
              <w:pStyle w:val="null3"/>
              <w:ind w:firstLine="480"/>
            </w:pPr>
            <w:r>
              <w:rPr>
                <w:rFonts w:ascii="仿宋_GB2312" w:hAnsi="仿宋_GB2312" w:cs="仿宋_GB2312" w:eastAsia="仿宋_GB2312"/>
                <w:b/>
              </w:rPr>
              <w:t>（六）其他要求</w:t>
            </w:r>
          </w:p>
          <w:p>
            <w:pPr>
              <w:pStyle w:val="null3"/>
              <w:ind w:firstLine="480"/>
            </w:pPr>
            <w:r>
              <w:rPr>
                <w:rFonts w:ascii="仿宋_GB2312" w:hAnsi="仿宋_GB2312" w:cs="仿宋_GB2312" w:eastAsia="仿宋_GB2312"/>
              </w:rPr>
              <w:t>安排1名驻场工程师负责日常站点状态巡检、故障接报、数据整理及配合前端设备的巡检、维护、故障修复等工作。</w:t>
            </w:r>
          </w:p>
          <w:p>
            <w:pPr>
              <w:pStyle w:val="null3"/>
            </w:pPr>
            <w:r>
              <w:rPr>
                <w:rFonts w:ascii="仿宋_GB2312" w:hAnsi="仿宋_GB2312" w:cs="仿宋_GB2312" w:eastAsia="仿宋_GB2312"/>
                <w:b/>
              </w:rPr>
              <w:t xml:space="preserve">             三、设备参数</w:t>
            </w:r>
          </w:p>
          <w:tbl>
            <w:tblPr>
              <w:tblBorders>
                <w:top w:val="none" w:color="000000" w:sz="4"/>
                <w:left w:val="none" w:color="000000" w:sz="4"/>
                <w:bottom w:val="none" w:color="000000" w:sz="4"/>
                <w:right w:val="none" w:color="000000" w:sz="4"/>
                <w:insideH w:val="none"/>
                <w:insideV w:val="none"/>
              </w:tblBorders>
            </w:tblPr>
            <w:tblGrid>
              <w:gridCol w:w="268"/>
              <w:gridCol w:w="503"/>
              <w:gridCol w:w="2037"/>
            </w:tblGrid>
            <w:tr>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序号</w:t>
                  </w:r>
                </w:p>
              </w:tc>
              <w:tc>
                <w:tcPr>
                  <w:tcW w:type="dxa" w:w="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名称</w:t>
                  </w:r>
                </w:p>
              </w:tc>
              <w:tc>
                <w:tcPr>
                  <w:tcW w:type="dxa" w:w="20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b/>
                      <w:color w:val="000000"/>
                    </w:rPr>
                    <w:t>技术参数要求</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蓄电池</w:t>
                  </w:r>
                  <w:r>
                    <w:rPr>
                      <w:rFonts w:ascii="仿宋_GB2312" w:hAnsi="仿宋_GB2312" w:cs="仿宋_GB2312" w:eastAsia="仿宋_GB2312"/>
                      <w:sz w:val="19"/>
                      <w:color w:val="000000"/>
                    </w:rPr>
                    <w:t>及电池罩</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）工作电压：12V</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）容量：≥</w:t>
                  </w:r>
                  <w:r>
                    <w:rPr>
                      <w:rFonts w:ascii="仿宋_GB2312" w:hAnsi="仿宋_GB2312" w:cs="仿宋_GB2312" w:eastAsia="仿宋_GB2312"/>
                      <w:sz w:val="19"/>
                      <w:color w:val="000000"/>
                    </w:rPr>
                    <w:t>100</w:t>
                  </w:r>
                  <w:r>
                    <w:rPr>
                      <w:rFonts w:ascii="仿宋_GB2312" w:hAnsi="仿宋_GB2312" w:cs="仿宋_GB2312" w:eastAsia="仿宋_GB2312"/>
                      <w:sz w:val="19"/>
                      <w:color w:val="000000"/>
                    </w:rPr>
                    <w:t>AH（</w:t>
                  </w:r>
                  <w:r>
                    <w:rPr>
                      <w:rFonts w:ascii="仿宋_GB2312" w:hAnsi="仿宋_GB2312" w:cs="仿宋_GB2312" w:eastAsia="仿宋_GB2312"/>
                      <w:sz w:val="19"/>
                      <w:color w:val="000000"/>
                    </w:rPr>
                    <w:t>卫星通讯站</w:t>
                  </w:r>
                  <w:r>
                    <w:rPr>
                      <w:rFonts w:ascii="仿宋_GB2312" w:hAnsi="仿宋_GB2312" w:cs="仿宋_GB2312" w:eastAsia="仿宋_GB2312"/>
                      <w:sz w:val="19"/>
                      <w:color w:val="000000"/>
                    </w:rPr>
                    <w:t>）；容量：≥</w:t>
                  </w:r>
                  <w:r>
                    <w:rPr>
                      <w:rFonts w:ascii="仿宋_GB2312" w:hAnsi="仿宋_GB2312" w:cs="仿宋_GB2312" w:eastAsia="仿宋_GB2312"/>
                      <w:sz w:val="19"/>
                      <w:color w:val="000000"/>
                    </w:rPr>
                    <w:t>40</w:t>
                  </w:r>
                  <w:r>
                    <w:rPr>
                      <w:rFonts w:ascii="仿宋_GB2312" w:hAnsi="仿宋_GB2312" w:cs="仿宋_GB2312" w:eastAsia="仿宋_GB2312"/>
                      <w:sz w:val="19"/>
                      <w:color w:val="000000"/>
                    </w:rPr>
                    <w:t>AH（</w:t>
                  </w:r>
                  <w:r>
                    <w:rPr>
                      <w:rFonts w:ascii="仿宋_GB2312" w:hAnsi="仿宋_GB2312" w:cs="仿宋_GB2312" w:eastAsia="仿宋_GB2312"/>
                      <w:sz w:val="19"/>
                      <w:color w:val="000000"/>
                    </w:rPr>
                    <w:t>GPRS通讯站</w:t>
                  </w:r>
                  <w:r>
                    <w:rPr>
                      <w:rFonts w:ascii="仿宋_GB2312" w:hAnsi="仿宋_GB2312" w:cs="仿宋_GB2312" w:eastAsia="仿宋_GB2312"/>
                      <w:sz w:val="19"/>
                      <w:color w:val="000000"/>
                    </w:rPr>
                    <w:t>）</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2</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太阳能板充电控制器</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）充电电压：12V</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）太阳能板充电电流：≥</w:t>
                  </w:r>
                  <w:r>
                    <w:rPr>
                      <w:rFonts w:ascii="仿宋_GB2312" w:hAnsi="仿宋_GB2312" w:cs="仿宋_GB2312" w:eastAsia="仿宋_GB2312"/>
                      <w:sz w:val="19"/>
                      <w:color w:val="000000"/>
                    </w:rPr>
                    <w:t>6</w:t>
                  </w:r>
                  <w:r>
                    <w:rPr>
                      <w:rFonts w:ascii="仿宋_GB2312" w:hAnsi="仿宋_GB2312" w:cs="仿宋_GB2312" w:eastAsia="仿宋_GB2312"/>
                      <w:sz w:val="19"/>
                      <w:color w:val="000000"/>
                    </w:rPr>
                    <w:t>A</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3</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太阳能板</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）单晶硅太阳能电池片封装而成，电池片转换效率高于20%</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）光伏板峰值功率：</w:t>
                  </w:r>
                  <w:r>
                    <w:rPr>
                      <w:rFonts w:ascii="仿宋_GB2312" w:hAnsi="仿宋_GB2312" w:cs="仿宋_GB2312" w:eastAsia="仿宋_GB2312"/>
                      <w:sz w:val="19"/>
                      <w:color w:val="000000"/>
                    </w:rPr>
                    <w:t>1</w:t>
                  </w:r>
                  <w:r>
                    <w:rPr>
                      <w:rFonts w:ascii="仿宋_GB2312" w:hAnsi="仿宋_GB2312" w:cs="仿宋_GB2312" w:eastAsia="仿宋_GB2312"/>
                      <w:sz w:val="19"/>
                      <w:color w:val="000000"/>
                    </w:rPr>
                    <w:t>00W</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）适应环境温度：-40℃-90℃</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防水设备箱</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不锈钢材质，壁厚≥1.2mm，尺寸根据设备安装要求定制。</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5</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野外单杆</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塔杆含不锈钢杆体、法兰底盘、太阳能板支架、</w:t>
                  </w:r>
                  <w:r>
                    <w:rPr>
                      <w:rFonts w:ascii="仿宋_GB2312" w:hAnsi="仿宋_GB2312" w:cs="仿宋_GB2312" w:eastAsia="仿宋_GB2312"/>
                      <w:sz w:val="19"/>
                      <w:color w:val="000000"/>
                    </w:rPr>
                    <w:t>箱体</w:t>
                  </w:r>
                  <w:r>
                    <w:rPr>
                      <w:rFonts w:ascii="仿宋_GB2312" w:hAnsi="仿宋_GB2312" w:cs="仿宋_GB2312" w:eastAsia="仿宋_GB2312"/>
                      <w:sz w:val="19"/>
                      <w:color w:val="000000"/>
                    </w:rPr>
                    <w:t>支架、蓄电池支架、塔杆固定水泥块及而配套的螺丝螺栓等，主要技术指标如下：</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 xml:space="preserve">）材质：不锈钢     </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）壁厚：</w:t>
                  </w: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.5</w:t>
                  </w:r>
                  <w:r>
                    <w:rPr>
                      <w:rFonts w:ascii="仿宋_GB2312" w:hAnsi="仿宋_GB2312" w:cs="仿宋_GB2312" w:eastAsia="仿宋_GB2312"/>
                      <w:sz w:val="19"/>
                      <w:color w:val="000000"/>
                    </w:rPr>
                    <w:t>mm</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）管径：</w:t>
                  </w:r>
                  <w:r>
                    <w:rPr>
                      <w:rFonts w:ascii="仿宋_GB2312" w:hAnsi="仿宋_GB2312" w:cs="仿宋_GB2312" w:eastAsia="仿宋_GB2312"/>
                      <w:sz w:val="19"/>
                      <w:color w:val="000000"/>
                    </w:rPr>
                    <w:t>90m</w:t>
                  </w:r>
                </w:p>
                <w:p>
                  <w:pPr>
                    <w:pStyle w:val="null3"/>
                    <w:jc w:val="left"/>
                  </w:pPr>
                  <w:r>
                    <w:rPr>
                      <w:rFonts w:ascii="仿宋_GB2312" w:hAnsi="仿宋_GB2312" w:cs="仿宋_GB2312" w:eastAsia="仿宋_GB2312"/>
                      <w:sz w:val="19"/>
                      <w:color w:val="000000"/>
                    </w:rPr>
                    <w:t>（4）塔杆高：3米</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6</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雷达</w:t>
                  </w:r>
                  <w:r>
                    <w:rPr>
                      <w:rFonts w:ascii="仿宋_GB2312" w:hAnsi="仿宋_GB2312" w:cs="仿宋_GB2312" w:eastAsia="仿宋_GB2312"/>
                      <w:sz w:val="19"/>
                      <w:color w:val="000000"/>
                    </w:rPr>
                    <w:t>水位计</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）测距量程：</w:t>
                  </w:r>
                  <w:r>
                    <w:rPr>
                      <w:rFonts w:ascii="仿宋_GB2312" w:hAnsi="仿宋_GB2312" w:cs="仿宋_GB2312" w:eastAsia="仿宋_GB2312"/>
                      <w:sz w:val="19"/>
                      <w:color w:val="000000"/>
                    </w:rPr>
                    <w:t>30</w:t>
                  </w:r>
                  <w:r>
                    <w:rPr>
                      <w:rFonts w:ascii="仿宋_GB2312" w:hAnsi="仿宋_GB2312" w:cs="仿宋_GB2312" w:eastAsia="仿宋_GB2312"/>
                      <w:sz w:val="19"/>
                      <w:color w:val="000000"/>
                    </w:rPr>
                    <w:t>m</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）测距精度：±2mm(10m、30m)</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）测距分辨力：1mm</w:t>
                  </w:r>
                </w:p>
                <w:p>
                  <w:pPr>
                    <w:pStyle w:val="null3"/>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盲区：50cm</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7</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遥测终端机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支持4G全网通、Cat-1全网通、NB-IOT、Lora等通讯方式；可外接北斗短报文通讯功能；可外接超短波、ZigBee等通信方式。</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w:t>
                  </w:r>
                  <w:r>
                    <w:rPr>
                      <w:rFonts w:ascii="仿宋_GB2312" w:hAnsi="仿宋_GB2312" w:cs="仿宋_GB2312" w:eastAsia="仿宋_GB2312"/>
                      <w:sz w:val="19"/>
                      <w:color w:val="000000"/>
                    </w:rPr>
                    <w:t>TCP长连接，短连接模式可设置；支持自报式、召测式、自报/召测兼容式工作模式。</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支持SL651、SZY206、MQTT、HJ212、HTTP及其它定制协议。</w:t>
                  </w:r>
                </w:p>
                <w:p>
                  <w:pPr>
                    <w:pStyle w:val="null3"/>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支持多中心上报模式，可向4个中心站分发数据，不同通道可使用不同通信协议上传数据；上报中心站数量可扩展。</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w:t>
                  </w:r>
                  <w:r>
                    <w:rPr>
                      <w:rFonts w:ascii="仿宋_GB2312" w:hAnsi="仿宋_GB2312" w:cs="仿宋_GB2312" w:eastAsia="仿宋_GB2312"/>
                      <w:sz w:val="19"/>
                      <w:color w:val="000000"/>
                    </w:rPr>
                    <w:t>具备数据补发功能；具备阈值触发报警功能；支持水位变化加报，有雨加报等功能。</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w:t>
                  </w:r>
                  <w:r>
                    <w:rPr>
                      <w:rFonts w:ascii="仿宋_GB2312" w:hAnsi="仿宋_GB2312" w:cs="仿宋_GB2312" w:eastAsia="仿宋_GB2312"/>
                      <w:sz w:val="19"/>
                      <w:color w:val="000000"/>
                    </w:rPr>
                    <w:t>支持网络自动校时和服务器授时。</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）支持远程设备重启、维护、参数设置，固件升级、数据透传等远程操作功能。</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）支持本地蓝牙APP设置参数，固件升级；支持通过蓝牙APP或RS232本地导出历史数据；支持本地串口配置和串口升级功能。</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9</w:t>
                  </w:r>
                  <w:r>
                    <w:rPr>
                      <w:rFonts w:ascii="仿宋_GB2312" w:hAnsi="仿宋_GB2312" w:cs="仿宋_GB2312" w:eastAsia="仿宋_GB2312"/>
                      <w:sz w:val="19"/>
                      <w:color w:val="000000"/>
                    </w:rPr>
                    <w:t>）提供接口丰富、标准易用：支持翻斗式雨量计接口，RS485接口，RS232接口，4~20mA接口，SDI-12接口，开关量输入，OC门输出，受控电源输出，非受控电源输入等。</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r>
                    <w:rPr>
                      <w:rFonts w:ascii="仿宋_GB2312" w:hAnsi="仿宋_GB2312" w:cs="仿宋_GB2312" w:eastAsia="仿宋_GB2312"/>
                      <w:sz w:val="19"/>
                      <w:color w:val="000000"/>
                    </w:rPr>
                    <w:t>）支持接入串口摄像头，支持图片人工抓拍、定时抓拍、并支持文字叠加功能。</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11</w:t>
                  </w:r>
                  <w:r>
                    <w:rPr>
                      <w:rFonts w:ascii="仿宋_GB2312" w:hAnsi="仿宋_GB2312" w:cs="仿宋_GB2312" w:eastAsia="仿宋_GB2312"/>
                      <w:sz w:val="19"/>
                      <w:color w:val="000000"/>
                    </w:rPr>
                    <w:t>）支持贴片SIM卡与插拔SIM卡，且支持贴片SIM卡与插拔SIM卡相互切换。</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12</w:t>
                  </w:r>
                  <w:r>
                    <w:rPr>
                      <w:rFonts w:ascii="仿宋_GB2312" w:hAnsi="仿宋_GB2312" w:cs="仿宋_GB2312" w:eastAsia="仿宋_GB2312"/>
                      <w:sz w:val="19"/>
                      <w:color w:val="000000"/>
                    </w:rPr>
                    <w:t>）不小于32M内部数据存储；具备断电数据保护功能。</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13</w:t>
                  </w:r>
                  <w:r>
                    <w:rPr>
                      <w:rFonts w:ascii="仿宋_GB2312" w:hAnsi="仿宋_GB2312" w:cs="仿宋_GB2312" w:eastAsia="仿宋_GB2312"/>
                      <w:sz w:val="19"/>
                      <w:color w:val="000000"/>
                    </w:rPr>
                    <w:t>）提供配套的中心站数据接收处理软件，具有数据纠错、冗余过滤、报文补报等机制，提供报文接收、解析、写库存储功能远程管理：支持远程诊断、远程设置、远程维护、远程升级等功能。</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14</w:t>
                  </w:r>
                  <w:r>
                    <w:rPr>
                      <w:rFonts w:ascii="仿宋_GB2312" w:hAnsi="仿宋_GB2312" w:cs="仿宋_GB2312" w:eastAsia="仿宋_GB2312"/>
                      <w:sz w:val="19"/>
                      <w:color w:val="000000"/>
                    </w:rPr>
                    <w:t>）7-32VDC宽电压供电；内置反相保护和过压保护。</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）看门狗安全设计，可以实现系统异常自动复位。</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16</w:t>
                  </w:r>
                  <w:r>
                    <w:rPr>
                      <w:rFonts w:ascii="仿宋_GB2312" w:hAnsi="仿宋_GB2312" w:cs="仿宋_GB2312" w:eastAsia="仿宋_GB2312"/>
                      <w:sz w:val="19"/>
                      <w:color w:val="000000"/>
                    </w:rPr>
                    <w:t>）低功耗设计，静态值守电流&lt;1mA@12VDC，数据上传电流&lt;40mA@12VDC。</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17</w:t>
                  </w:r>
                  <w:r>
                    <w:rPr>
                      <w:rFonts w:ascii="仿宋_GB2312" w:hAnsi="仿宋_GB2312" w:cs="仿宋_GB2312" w:eastAsia="仿宋_GB2312"/>
                      <w:sz w:val="19"/>
                      <w:color w:val="000000"/>
                    </w:rPr>
                    <w:t>）工作环境温度：-35～75℃，存储环境温度：-40～85℃。</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18</w:t>
                  </w:r>
                  <w:r>
                    <w:rPr>
                      <w:rFonts w:ascii="仿宋_GB2312" w:hAnsi="仿宋_GB2312" w:cs="仿宋_GB2312" w:eastAsia="仿宋_GB2312"/>
                      <w:sz w:val="19"/>
                      <w:color w:val="000000"/>
                    </w:rPr>
                    <w:t>）工作环境湿度：≤95%RH（40℃）。</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19</w:t>
                  </w:r>
                  <w:r>
                    <w:rPr>
                      <w:rFonts w:ascii="仿宋_GB2312" w:hAnsi="仿宋_GB2312" w:cs="仿宋_GB2312" w:eastAsia="仿宋_GB2312"/>
                      <w:sz w:val="19"/>
                      <w:color w:val="000000"/>
                    </w:rPr>
                    <w:t>）平均无故障工作时间：≥100000H。</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20</w:t>
                  </w:r>
                  <w:r>
                    <w:rPr>
                      <w:rFonts w:ascii="仿宋_GB2312" w:hAnsi="仿宋_GB2312" w:cs="仿宋_GB2312" w:eastAsia="仿宋_GB2312"/>
                      <w:sz w:val="19"/>
                      <w:color w:val="000000"/>
                    </w:rPr>
                    <w:t>）金属外壳。</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21</w:t>
                  </w:r>
                  <w:r>
                    <w:rPr>
                      <w:rFonts w:ascii="仿宋_GB2312" w:hAnsi="仿宋_GB2312" w:cs="仿宋_GB2312" w:eastAsia="仿宋_GB2312"/>
                      <w:sz w:val="19"/>
                      <w:color w:val="000000"/>
                    </w:rPr>
                    <w:t>）符合SL651-2014《水文监测数据通信规约》，并提供水利部水文仪器及岩土工程仪器质量监督检验测试中心出具的检测报告。</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8</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卫星机</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w:t>
                  </w:r>
                  <w:r>
                    <w:rPr>
                      <w:rFonts w:ascii="仿宋_GB2312" w:hAnsi="仿宋_GB2312" w:cs="仿宋_GB2312" w:eastAsia="仿宋_GB2312"/>
                      <w:sz w:val="19"/>
                      <w:color w:val="000000"/>
                    </w:rPr>
                    <w:t>）接收频率：北斗B1频点，GPS L1频点。</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w:t>
                  </w:r>
                  <w:r>
                    <w:rPr>
                      <w:rFonts w:ascii="仿宋_GB2312" w:hAnsi="仿宋_GB2312" w:cs="仿宋_GB2312" w:eastAsia="仿宋_GB2312"/>
                      <w:sz w:val="19"/>
                      <w:color w:val="000000"/>
                    </w:rPr>
                    <w:t>）定位精度：水平：≤5米（CEP 50%，PDOP≤4）。</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3</w:t>
                  </w:r>
                  <w:r>
                    <w:rPr>
                      <w:rFonts w:ascii="仿宋_GB2312" w:hAnsi="仿宋_GB2312" w:cs="仿宋_GB2312" w:eastAsia="仿宋_GB2312"/>
                      <w:sz w:val="19"/>
                      <w:color w:val="000000"/>
                    </w:rPr>
                    <w:t>）测速精度：0.2m/s。</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4</w:t>
                  </w:r>
                  <w:r>
                    <w:rPr>
                      <w:rFonts w:ascii="仿宋_GB2312" w:hAnsi="仿宋_GB2312" w:cs="仿宋_GB2312" w:eastAsia="仿宋_GB2312"/>
                      <w:sz w:val="19"/>
                      <w:color w:val="000000"/>
                    </w:rPr>
                    <w:t>）捕获灵敏度：≤-133dBm。</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5</w:t>
                  </w:r>
                  <w:r>
                    <w:rPr>
                      <w:rFonts w:ascii="仿宋_GB2312" w:hAnsi="仿宋_GB2312" w:cs="仿宋_GB2312" w:eastAsia="仿宋_GB2312"/>
                      <w:sz w:val="19"/>
                      <w:color w:val="000000"/>
                    </w:rPr>
                    <w:t>）跟踪灵敏度：≤-147dBm。</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6</w:t>
                  </w:r>
                  <w:r>
                    <w:rPr>
                      <w:rFonts w:ascii="仿宋_GB2312" w:hAnsi="仿宋_GB2312" w:cs="仿宋_GB2312" w:eastAsia="仿宋_GB2312"/>
                      <w:sz w:val="19"/>
                      <w:color w:val="000000"/>
                    </w:rPr>
                    <w:t>）首次定位时间：冷启动：≤60s，温启动：≤30s，热启动：≤5s。</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7</w:t>
                  </w:r>
                  <w:r>
                    <w:rPr>
                      <w:rFonts w:ascii="仿宋_GB2312" w:hAnsi="仿宋_GB2312" w:cs="仿宋_GB2312" w:eastAsia="仿宋_GB2312"/>
                      <w:sz w:val="19"/>
                      <w:color w:val="000000"/>
                    </w:rPr>
                    <w:t>）接口协议：NMEA0183。</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8</w:t>
                  </w:r>
                  <w:r>
                    <w:rPr>
                      <w:rFonts w:ascii="仿宋_GB2312" w:hAnsi="仿宋_GB2312" w:cs="仿宋_GB2312" w:eastAsia="仿宋_GB2312"/>
                      <w:sz w:val="19"/>
                      <w:color w:val="000000"/>
                    </w:rPr>
                    <w:t>）接收与发射频率：接收信号频率：2491.75MHz±8.16MHz。</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9</w:t>
                  </w:r>
                  <w:r>
                    <w:rPr>
                      <w:rFonts w:ascii="仿宋_GB2312" w:hAnsi="仿宋_GB2312" w:cs="仿宋_GB2312" w:eastAsia="仿宋_GB2312"/>
                      <w:sz w:val="19"/>
                      <w:color w:val="000000"/>
                    </w:rPr>
                    <w:t>）接收灵敏度：≤-123.8dBm（专用段24kbps信息帧），≤-127.5dBm（专用段16kbps信息帧），≤-130dbm （专用段8kbps信息帧）。</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10</w:t>
                  </w:r>
                  <w:r>
                    <w:rPr>
                      <w:rFonts w:ascii="仿宋_GB2312" w:hAnsi="仿宋_GB2312" w:cs="仿宋_GB2312" w:eastAsia="仿宋_GB2312"/>
                      <w:sz w:val="19"/>
                      <w:color w:val="000000"/>
                    </w:rPr>
                    <w:t>）接收通道数：≥14个。</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11</w:t>
                  </w:r>
                  <w:r>
                    <w:rPr>
                      <w:rFonts w:ascii="仿宋_GB2312" w:hAnsi="仿宋_GB2312" w:cs="仿宋_GB2312" w:eastAsia="仿宋_GB2312"/>
                      <w:sz w:val="19"/>
                      <w:color w:val="000000"/>
                    </w:rPr>
                    <w:t>）首次捕获时间：≤2s（95%）。</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12</w:t>
                  </w:r>
                  <w:r>
                    <w:rPr>
                      <w:rFonts w:ascii="仿宋_GB2312" w:hAnsi="仿宋_GB2312" w:cs="仿宋_GB2312" w:eastAsia="仿宋_GB2312"/>
                      <w:sz w:val="19"/>
                      <w:color w:val="000000"/>
                    </w:rPr>
                    <w:t>）失锁再捕时间：≤1s。</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13</w:t>
                  </w:r>
                  <w:r>
                    <w:rPr>
                      <w:rFonts w:ascii="仿宋_GB2312" w:hAnsi="仿宋_GB2312" w:cs="仿宋_GB2312" w:eastAsia="仿宋_GB2312"/>
                      <w:sz w:val="19"/>
                      <w:color w:val="000000"/>
                    </w:rPr>
                    <w:t>）发射EIRP值：4dBW～12dBW。</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14</w:t>
                  </w:r>
                  <w:r>
                    <w:rPr>
                      <w:rFonts w:ascii="仿宋_GB2312" w:hAnsi="仿宋_GB2312" w:cs="仿宋_GB2312" w:eastAsia="仿宋_GB2312"/>
                      <w:sz w:val="19"/>
                      <w:color w:val="000000"/>
                    </w:rPr>
                    <w:t>）通信成功率：95%。</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15</w:t>
                  </w:r>
                  <w:r>
                    <w:rPr>
                      <w:rFonts w:ascii="仿宋_GB2312" w:hAnsi="仿宋_GB2312" w:cs="仿宋_GB2312" w:eastAsia="仿宋_GB2312"/>
                      <w:sz w:val="19"/>
                      <w:color w:val="000000"/>
                    </w:rPr>
                    <w:t>）载波抑制：≥30dBc。</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16</w:t>
                  </w:r>
                  <w:r>
                    <w:rPr>
                      <w:rFonts w:ascii="仿宋_GB2312" w:hAnsi="仿宋_GB2312" w:cs="仿宋_GB2312" w:eastAsia="仿宋_GB2312"/>
                      <w:sz w:val="19"/>
                      <w:color w:val="000000"/>
                    </w:rPr>
                    <w:t>）相位误差：≤3°。</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17</w:t>
                  </w:r>
                  <w:r>
                    <w:rPr>
                      <w:rFonts w:ascii="仿宋_GB2312" w:hAnsi="仿宋_GB2312" w:cs="仿宋_GB2312" w:eastAsia="仿宋_GB2312"/>
                      <w:sz w:val="19"/>
                      <w:color w:val="000000"/>
                    </w:rPr>
                    <w:t>）报文长度：1000个汉字（最大）。</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18</w:t>
                  </w:r>
                  <w:r>
                    <w:rPr>
                      <w:rFonts w:ascii="仿宋_GB2312" w:hAnsi="仿宋_GB2312" w:cs="仿宋_GB2312" w:eastAsia="仿宋_GB2312"/>
                      <w:sz w:val="19"/>
                      <w:color w:val="000000"/>
                    </w:rPr>
                    <w:t>）工作温度：-25～+70℃（电池及SIM卡推荐温度），设备：-40～+85℃。</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19</w:t>
                  </w:r>
                  <w:r>
                    <w:rPr>
                      <w:rFonts w:ascii="仿宋_GB2312" w:hAnsi="仿宋_GB2312" w:cs="仿宋_GB2312" w:eastAsia="仿宋_GB2312"/>
                      <w:sz w:val="19"/>
                      <w:color w:val="000000"/>
                    </w:rPr>
                    <w:t>）存储温度：-40～+85℃。</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20</w:t>
                  </w:r>
                  <w:r>
                    <w:rPr>
                      <w:rFonts w:ascii="仿宋_GB2312" w:hAnsi="仿宋_GB2312" w:cs="仿宋_GB2312" w:eastAsia="仿宋_GB2312"/>
                      <w:sz w:val="19"/>
                      <w:color w:val="000000"/>
                    </w:rPr>
                    <w:t>）防护特性：IP67。</w:t>
                  </w:r>
                </w:p>
                <w:p>
                  <w:pPr>
                    <w:pStyle w:val="null3"/>
                    <w:jc w:val="left"/>
                  </w:pPr>
                  <w:r>
                    <w:rPr>
                      <w:rFonts w:ascii="仿宋_GB2312" w:hAnsi="仿宋_GB2312" w:cs="仿宋_GB2312" w:eastAsia="仿宋_GB2312"/>
                      <w:sz w:val="19"/>
                      <w:color w:val="000000"/>
                    </w:rPr>
                    <w:t>（</w:t>
                  </w:r>
                  <w:r>
                    <w:rPr>
                      <w:rFonts w:ascii="仿宋_GB2312" w:hAnsi="仿宋_GB2312" w:cs="仿宋_GB2312" w:eastAsia="仿宋_GB2312"/>
                      <w:sz w:val="19"/>
                      <w:color w:val="000000"/>
                    </w:rPr>
                    <w:t>21</w:t>
                  </w:r>
                  <w:r>
                    <w:rPr>
                      <w:rFonts w:ascii="仿宋_GB2312" w:hAnsi="仿宋_GB2312" w:cs="仿宋_GB2312" w:eastAsia="仿宋_GB2312"/>
                      <w:sz w:val="19"/>
                      <w:color w:val="000000"/>
                    </w:rPr>
                    <w:t>）电源特性：输入电压范围：7～36V@15W(防反接)。</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9</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雨量计</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000000"/>
                    </w:rPr>
                    <w:t>（1）</w:t>
                  </w:r>
                  <w:r>
                    <w:rPr>
                      <w:rFonts w:ascii="仿宋_GB2312" w:hAnsi="仿宋_GB2312" w:cs="仿宋_GB2312" w:eastAsia="仿宋_GB2312"/>
                      <w:sz w:val="19"/>
                      <w:color w:val="000000"/>
                    </w:rPr>
                    <w:t>承雨口径：Ф200mm±0.5mm；刃口角40～45°</w:t>
                  </w:r>
                  <w:r>
                    <w:rPr>
                      <w:rFonts w:ascii="仿宋_GB2312" w:hAnsi="仿宋_GB2312" w:cs="仿宋_GB2312" w:eastAsia="仿宋_GB2312"/>
                      <w:sz w:val="19"/>
                      <w:color w:val="000000"/>
                    </w:rPr>
                    <w:t>.</w:t>
                  </w:r>
                </w:p>
                <w:p>
                  <w:pPr>
                    <w:pStyle w:val="null3"/>
                    <w:jc w:val="left"/>
                  </w:pPr>
                  <w:r>
                    <w:rPr>
                      <w:rFonts w:ascii="仿宋_GB2312" w:hAnsi="仿宋_GB2312" w:cs="仿宋_GB2312" w:eastAsia="仿宋_GB2312"/>
                      <w:sz w:val="19"/>
                      <w:color w:val="000000"/>
                    </w:rPr>
                    <w:t>（2）</w:t>
                  </w:r>
                  <w:r>
                    <w:rPr>
                      <w:rFonts w:ascii="仿宋_GB2312" w:hAnsi="仿宋_GB2312" w:cs="仿宋_GB2312" w:eastAsia="仿宋_GB2312"/>
                      <w:sz w:val="19"/>
                      <w:color w:val="000000"/>
                    </w:rPr>
                    <w:t>分辨力：</w:t>
                  </w:r>
                  <w:r>
                    <w:rPr>
                      <w:rFonts w:ascii="仿宋_GB2312" w:hAnsi="仿宋_GB2312" w:cs="仿宋_GB2312" w:eastAsia="仿宋_GB2312"/>
                      <w:sz w:val="19"/>
                      <w:color w:val="000000"/>
                    </w:rPr>
                    <w:t>0.5</w:t>
                  </w:r>
                  <w:r>
                    <w:rPr>
                      <w:rFonts w:ascii="仿宋_GB2312" w:hAnsi="仿宋_GB2312" w:cs="仿宋_GB2312" w:eastAsia="仿宋_GB2312"/>
                      <w:sz w:val="19"/>
                      <w:color w:val="000000"/>
                    </w:rPr>
                    <w:t>mm。</w:t>
                  </w:r>
                </w:p>
                <w:p>
                  <w:pPr>
                    <w:pStyle w:val="null3"/>
                    <w:jc w:val="left"/>
                  </w:pPr>
                  <w:r>
                    <w:rPr>
                      <w:rFonts w:ascii="仿宋_GB2312" w:hAnsi="仿宋_GB2312" w:cs="仿宋_GB2312" w:eastAsia="仿宋_GB2312"/>
                      <w:sz w:val="19"/>
                      <w:color w:val="000000"/>
                    </w:rPr>
                    <w:t>（3）</w:t>
                  </w:r>
                  <w:r>
                    <w:rPr>
                      <w:rFonts w:ascii="仿宋_GB2312" w:hAnsi="仿宋_GB2312" w:cs="仿宋_GB2312" w:eastAsia="仿宋_GB2312"/>
                      <w:sz w:val="19"/>
                      <w:color w:val="000000"/>
                    </w:rPr>
                    <w:t xml:space="preserve">周围环境温度：0～+50℃。      </w:t>
                  </w:r>
                </w:p>
                <w:p>
                  <w:pPr>
                    <w:pStyle w:val="null3"/>
                    <w:jc w:val="left"/>
                  </w:pPr>
                  <w:r>
                    <w:rPr>
                      <w:rFonts w:ascii="仿宋_GB2312" w:hAnsi="仿宋_GB2312" w:cs="仿宋_GB2312" w:eastAsia="仿宋_GB2312"/>
                      <w:sz w:val="19"/>
                      <w:color w:val="000000"/>
                    </w:rPr>
                    <w:t>（4）</w:t>
                  </w:r>
                  <w:r>
                    <w:rPr>
                      <w:rFonts w:ascii="仿宋_GB2312" w:hAnsi="仿宋_GB2312" w:cs="仿宋_GB2312" w:eastAsia="仿宋_GB2312"/>
                      <w:sz w:val="19"/>
                      <w:color w:val="000000"/>
                    </w:rPr>
                    <w:t>相对湿度：不限（+50℃时）。</w:t>
                  </w:r>
                </w:p>
                <w:p>
                  <w:pPr>
                    <w:pStyle w:val="null3"/>
                    <w:jc w:val="left"/>
                  </w:pPr>
                  <w:r>
                    <w:rPr>
                      <w:rFonts w:ascii="仿宋_GB2312" w:hAnsi="仿宋_GB2312" w:cs="仿宋_GB2312" w:eastAsia="仿宋_GB2312"/>
                      <w:sz w:val="19"/>
                      <w:color w:val="000000"/>
                    </w:rPr>
                    <w:t>（5）</w:t>
                  </w:r>
                  <w:r>
                    <w:rPr>
                      <w:rFonts w:ascii="仿宋_GB2312" w:hAnsi="仿宋_GB2312" w:cs="仿宋_GB2312" w:eastAsia="仿宋_GB2312"/>
                      <w:sz w:val="19"/>
                      <w:color w:val="000000"/>
                    </w:rPr>
                    <w:t>温度贮存范围：-40℃～+60℃。</w:t>
                  </w:r>
                </w:p>
                <w:p>
                  <w:pPr>
                    <w:pStyle w:val="null3"/>
                    <w:jc w:val="left"/>
                  </w:pPr>
                  <w:r>
                    <w:rPr>
                      <w:rFonts w:ascii="仿宋_GB2312" w:hAnsi="仿宋_GB2312" w:cs="仿宋_GB2312" w:eastAsia="仿宋_GB2312"/>
                      <w:sz w:val="19"/>
                      <w:color w:val="000000"/>
                    </w:rPr>
                    <w:t>（6）</w:t>
                  </w:r>
                  <w:r>
                    <w:rPr>
                      <w:rFonts w:ascii="仿宋_GB2312" w:hAnsi="仿宋_GB2312" w:cs="仿宋_GB2312" w:eastAsia="仿宋_GB2312"/>
                      <w:sz w:val="19"/>
                      <w:color w:val="000000"/>
                    </w:rPr>
                    <w:t>湿度贮存范围：95%RH（+50℃时）。</w:t>
                  </w:r>
                </w:p>
                <w:p>
                  <w:pPr>
                    <w:pStyle w:val="null3"/>
                    <w:jc w:val="left"/>
                  </w:pPr>
                  <w:r>
                    <w:rPr>
                      <w:rFonts w:ascii="仿宋_GB2312" w:hAnsi="仿宋_GB2312" w:cs="仿宋_GB2312" w:eastAsia="仿宋_GB2312"/>
                      <w:sz w:val="19"/>
                      <w:color w:val="000000"/>
                    </w:rPr>
                    <w:t>（7）</w:t>
                  </w:r>
                  <w:r>
                    <w:rPr>
                      <w:rFonts w:ascii="仿宋_GB2312" w:hAnsi="仿宋_GB2312" w:cs="仿宋_GB2312" w:eastAsia="仿宋_GB2312"/>
                      <w:sz w:val="19"/>
                      <w:color w:val="000000"/>
                    </w:rPr>
                    <w:t>发讯方式：根据用户终端机线路不同可选用。</w:t>
                  </w:r>
                </w:p>
                <w:p>
                  <w:pPr>
                    <w:pStyle w:val="null3"/>
                    <w:jc w:val="left"/>
                  </w:pPr>
                  <w:r>
                    <w:rPr>
                      <w:rFonts w:ascii="仿宋_GB2312" w:hAnsi="仿宋_GB2312" w:cs="仿宋_GB2312" w:eastAsia="仿宋_GB2312"/>
                      <w:sz w:val="19"/>
                      <w:color w:val="000000"/>
                    </w:rPr>
                    <w:t>（8）</w:t>
                  </w:r>
                  <w:r>
                    <w:rPr>
                      <w:rFonts w:ascii="仿宋_GB2312" w:hAnsi="仿宋_GB2312" w:cs="仿宋_GB2312" w:eastAsia="仿宋_GB2312"/>
                      <w:sz w:val="19"/>
                      <w:color w:val="000000"/>
                    </w:rPr>
                    <w:t>雨强范围：0.01～4mm/min（允许通过最大雨强8mm/min）。</w:t>
                  </w:r>
                </w:p>
                <w:p>
                  <w:pPr>
                    <w:pStyle w:val="null3"/>
                    <w:jc w:val="left"/>
                  </w:pPr>
                  <w:r>
                    <w:rPr>
                      <w:rFonts w:ascii="仿宋_GB2312" w:hAnsi="仿宋_GB2312" w:cs="仿宋_GB2312" w:eastAsia="仿宋_GB2312"/>
                      <w:sz w:val="19"/>
                      <w:color w:val="000000"/>
                    </w:rPr>
                    <w:t>（9）</w:t>
                  </w:r>
                  <w:r>
                    <w:rPr>
                      <w:rFonts w:ascii="仿宋_GB2312" w:hAnsi="仿宋_GB2312" w:cs="仿宋_GB2312" w:eastAsia="仿宋_GB2312"/>
                      <w:sz w:val="19"/>
                      <w:color w:val="000000"/>
                    </w:rPr>
                    <w:t>精度：≤±3%（以仪器自身排水量为准，室内人工模拟降水作为考核方法）。</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10</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color w:val="000000"/>
                    </w:rPr>
                    <w:t>流量计</w:t>
                  </w:r>
                </w:p>
              </w:tc>
              <w:tc>
                <w:tcPr>
                  <w:tcW w:type="dxa" w:w="20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color w:val="1F2329"/>
                    </w:rPr>
                    <w:t>（1）流速量程：0.02</w:t>
                  </w:r>
                  <w:r>
                    <w:rPr>
                      <w:rFonts w:ascii="仿宋_GB2312" w:hAnsi="仿宋_GB2312" w:cs="仿宋_GB2312" w:eastAsia="仿宋_GB2312"/>
                      <w:sz w:val="19"/>
                      <w:color w:val="000000"/>
                    </w:rPr>
                    <w:t>～</w:t>
                  </w:r>
                  <w:r>
                    <w:rPr>
                      <w:rFonts w:ascii="仿宋_GB2312" w:hAnsi="仿宋_GB2312" w:cs="仿宋_GB2312" w:eastAsia="仿宋_GB2312"/>
                      <w:sz w:val="19"/>
                      <w:color w:val="1F2329"/>
                    </w:rPr>
                    <w:t>25m/s（支持双向流速）。</w:t>
                  </w:r>
                </w:p>
                <w:p>
                  <w:pPr>
                    <w:pStyle w:val="null3"/>
                    <w:jc w:val="left"/>
                  </w:pPr>
                  <w:r>
                    <w:rPr>
                      <w:rFonts w:ascii="仿宋_GB2312" w:hAnsi="仿宋_GB2312" w:cs="仿宋_GB2312" w:eastAsia="仿宋_GB2312"/>
                      <w:sz w:val="19"/>
                      <w:color w:val="1F2329"/>
                    </w:rPr>
                    <w:t>（2）流速精度：±0.01m/s或±1%F.S。</w:t>
                  </w:r>
                </w:p>
                <w:p>
                  <w:pPr>
                    <w:pStyle w:val="null3"/>
                    <w:jc w:val="left"/>
                  </w:pPr>
                  <w:r>
                    <w:rPr>
                      <w:rFonts w:ascii="仿宋_GB2312" w:hAnsi="仿宋_GB2312" w:cs="仿宋_GB2312" w:eastAsia="仿宋_GB2312"/>
                      <w:sz w:val="19"/>
                      <w:color w:val="1F2329"/>
                    </w:rPr>
                    <w:t>（3）水位量程：±2mm（静态）；±5mm（动态）。</w:t>
                  </w:r>
                </w:p>
                <w:p>
                  <w:pPr>
                    <w:pStyle w:val="null3"/>
                    <w:jc w:val="left"/>
                  </w:pPr>
                  <w:r>
                    <w:rPr>
                      <w:rFonts w:ascii="仿宋_GB2312" w:hAnsi="仿宋_GB2312" w:cs="仿宋_GB2312" w:eastAsia="仿宋_GB2312"/>
                      <w:sz w:val="19"/>
                      <w:color w:val="1F2329"/>
                    </w:rPr>
                    <w:t>（4）水位精度：</w:t>
                  </w:r>
                  <w:r>
                    <w:rPr>
                      <w:rFonts w:ascii="仿宋_GB2312" w:hAnsi="仿宋_GB2312" w:cs="仿宋_GB2312" w:eastAsia="仿宋_GB2312"/>
                      <w:sz w:val="19"/>
                    </w:rPr>
                    <w:t>0.5</w:t>
                  </w:r>
                  <w:r>
                    <w:rPr>
                      <w:rFonts w:ascii="仿宋_GB2312" w:hAnsi="仿宋_GB2312" w:cs="仿宋_GB2312" w:eastAsia="仿宋_GB2312"/>
                      <w:sz w:val="19"/>
                      <w:color w:val="000000"/>
                    </w:rPr>
                    <w:t>～</w:t>
                  </w:r>
                  <w:r>
                    <w:rPr>
                      <w:rFonts w:ascii="仿宋_GB2312" w:hAnsi="仿宋_GB2312" w:cs="仿宋_GB2312" w:eastAsia="仿宋_GB2312"/>
                      <w:sz w:val="19"/>
                    </w:rPr>
                    <w:t>40m。</w:t>
                  </w:r>
                </w:p>
                <w:p>
                  <w:pPr>
                    <w:pStyle w:val="null3"/>
                    <w:jc w:val="left"/>
                  </w:pPr>
                  <w:r>
                    <w:rPr>
                      <w:rFonts w:ascii="仿宋_GB2312" w:hAnsi="仿宋_GB2312" w:cs="仿宋_GB2312" w:eastAsia="仿宋_GB2312"/>
                      <w:sz w:val="19"/>
                      <w:color w:val="1F2329"/>
                    </w:rPr>
                    <w:t>（5）发射频率：</w:t>
                  </w:r>
                  <w:r>
                    <w:rPr>
                      <w:rFonts w:ascii="仿宋_GB2312" w:hAnsi="仿宋_GB2312" w:cs="仿宋_GB2312" w:eastAsia="仿宋_GB2312"/>
                      <w:sz w:val="19"/>
                    </w:rPr>
                    <w:t>24GHz（常规）/60GHz（高精度）。</w:t>
                  </w:r>
                </w:p>
                <w:p>
                  <w:pPr>
                    <w:pStyle w:val="null3"/>
                    <w:jc w:val="left"/>
                  </w:pPr>
                  <w:r>
                    <w:rPr>
                      <w:rFonts w:ascii="仿宋_GB2312" w:hAnsi="仿宋_GB2312" w:cs="仿宋_GB2312" w:eastAsia="仿宋_GB2312"/>
                      <w:sz w:val="19"/>
                      <w:color w:val="1F2329"/>
                    </w:rPr>
                    <w:t>（6）天线波束角：</w:t>
                  </w:r>
                  <w:r>
                    <w:rPr>
                      <w:rFonts w:ascii="仿宋_GB2312" w:hAnsi="仿宋_GB2312" w:cs="仿宋_GB2312" w:eastAsia="仿宋_GB2312"/>
                      <w:sz w:val="19"/>
                    </w:rPr>
                    <w:t>流速波束角10×30°；水位波束角 5×5°。</w:t>
                  </w:r>
                </w:p>
                <w:p>
                  <w:pPr>
                    <w:pStyle w:val="null3"/>
                    <w:jc w:val="left"/>
                  </w:pPr>
                  <w:r>
                    <w:rPr>
                      <w:rFonts w:ascii="仿宋_GB2312" w:hAnsi="仿宋_GB2312" w:cs="仿宋_GB2312" w:eastAsia="仿宋_GB2312"/>
                      <w:sz w:val="19"/>
                      <w:color w:val="1F2329"/>
                    </w:rPr>
                    <w:t>（7）工作温度：</w:t>
                  </w:r>
                  <w:r>
                    <w:rPr>
                      <w:rFonts w:ascii="仿宋_GB2312" w:hAnsi="仿宋_GB2312" w:cs="仿宋_GB2312" w:eastAsia="仿宋_GB2312"/>
                      <w:sz w:val="19"/>
                    </w:rPr>
                    <w:t>-40℃</w:t>
                  </w:r>
                  <w:r>
                    <w:rPr>
                      <w:rFonts w:ascii="仿宋_GB2312" w:hAnsi="仿宋_GB2312" w:cs="仿宋_GB2312" w:eastAsia="仿宋_GB2312"/>
                      <w:sz w:val="19"/>
                      <w:color w:val="000000"/>
                    </w:rPr>
                    <w:t>～</w:t>
                  </w:r>
                  <w:r>
                    <w:rPr>
                      <w:rFonts w:ascii="仿宋_GB2312" w:hAnsi="仿宋_GB2312" w:cs="仿宋_GB2312" w:eastAsia="仿宋_GB2312"/>
                      <w:sz w:val="19"/>
                    </w:rPr>
                    <w:t>+85℃</w:t>
                  </w:r>
                  <w:r>
                    <w:rPr>
                      <w:rFonts w:ascii="仿宋_GB2312" w:hAnsi="仿宋_GB2312" w:cs="仿宋_GB2312" w:eastAsia="仿宋_GB2312"/>
                      <w:sz w:val="19"/>
                      <w:color w:val="1F2329"/>
                    </w:rPr>
                    <w:t>。</w:t>
                  </w:r>
                </w:p>
                <w:p>
                  <w:pPr>
                    <w:pStyle w:val="null3"/>
                    <w:jc w:val="left"/>
                  </w:pPr>
                  <w:r>
                    <w:rPr>
                      <w:rFonts w:ascii="仿宋_GB2312" w:hAnsi="仿宋_GB2312" w:cs="仿宋_GB2312" w:eastAsia="仿宋_GB2312"/>
                      <w:sz w:val="19"/>
                      <w:color w:val="1F2329"/>
                    </w:rPr>
                    <w:t>（8）防护等级：</w:t>
                  </w:r>
                  <w:r>
                    <w:rPr>
                      <w:rFonts w:ascii="仿宋_GB2312" w:hAnsi="仿宋_GB2312" w:cs="仿宋_GB2312" w:eastAsia="仿宋_GB2312"/>
                      <w:sz w:val="19"/>
                    </w:rPr>
                    <w:t>IP68+防浪设计。</w:t>
                  </w:r>
                </w:p>
                <w:p>
                  <w:pPr>
                    <w:pStyle w:val="null3"/>
                    <w:jc w:val="left"/>
                  </w:pPr>
                  <w:r>
                    <w:rPr>
                      <w:rFonts w:ascii="仿宋_GB2312" w:hAnsi="仿宋_GB2312" w:cs="仿宋_GB2312" w:eastAsia="仿宋_GB2312"/>
                      <w:sz w:val="19"/>
                      <w:color w:val="1F2329"/>
                    </w:rPr>
                    <w:t>（9）供电方式：</w:t>
                  </w:r>
                  <w:r>
                    <w:rPr>
                      <w:rFonts w:ascii="仿宋_GB2312" w:hAnsi="仿宋_GB2312" w:cs="仿宋_GB2312" w:eastAsia="仿宋_GB2312"/>
                      <w:sz w:val="19"/>
                    </w:rPr>
                    <w:t>DC12V/24V。</w:t>
                  </w:r>
                </w:p>
                <w:p>
                  <w:pPr>
                    <w:pStyle w:val="null3"/>
                    <w:jc w:val="left"/>
                  </w:pPr>
                  <w:r>
                    <w:rPr>
                      <w:rFonts w:ascii="仿宋_GB2312" w:hAnsi="仿宋_GB2312" w:cs="仿宋_GB2312" w:eastAsia="仿宋_GB2312"/>
                      <w:sz w:val="19"/>
                      <w:color w:val="1F2329"/>
                    </w:rPr>
                    <w:t>（10）通信接口：</w:t>
                  </w:r>
                  <w:r>
                    <w:rPr>
                      <w:rFonts w:ascii="仿宋_GB2312" w:hAnsi="仿宋_GB2312" w:cs="仿宋_GB2312" w:eastAsia="仿宋_GB2312"/>
                      <w:sz w:val="19"/>
                    </w:rPr>
                    <w:t>4G/NB-IoT/RS485。</w:t>
                  </w:r>
                </w:p>
                <w:p>
                  <w:pPr>
                    <w:pStyle w:val="null3"/>
                    <w:jc w:val="left"/>
                  </w:pPr>
                  <w:r>
                    <w:rPr>
                      <w:rFonts w:ascii="仿宋_GB2312" w:hAnsi="仿宋_GB2312" w:cs="仿宋_GB2312" w:eastAsia="仿宋_GB2312"/>
                      <w:sz w:val="19"/>
                      <w:color w:val="1F2329"/>
                    </w:rPr>
                    <w:t>（11）流量计算功能：</w:t>
                  </w:r>
                  <w:r>
                    <w:rPr>
                      <w:rFonts w:ascii="仿宋_GB2312" w:hAnsi="仿宋_GB2312" w:cs="仿宋_GB2312" w:eastAsia="仿宋_GB2312"/>
                      <w:sz w:val="19"/>
                    </w:rPr>
                    <w:t>内置多种河道断面模型。</w:t>
                  </w:r>
                </w:p>
                <w:p>
                  <w:pPr>
                    <w:pStyle w:val="null3"/>
                    <w:jc w:val="left"/>
                  </w:pPr>
                  <w:r>
                    <w:rPr>
                      <w:rFonts w:ascii="仿宋_GB2312" w:hAnsi="仿宋_GB2312" w:cs="仿宋_GB2312" w:eastAsia="仿宋_GB2312"/>
                      <w:sz w:val="19"/>
                      <w:color w:val="1F2329"/>
                    </w:rPr>
                    <w:t>（12）抗干扰能力：</w:t>
                  </w:r>
                  <w:r>
                    <w:rPr>
                      <w:rFonts w:ascii="仿宋_GB2312" w:hAnsi="仿宋_GB2312" w:cs="仿宋_GB2312" w:eastAsia="仿宋_GB2312"/>
                      <w:sz w:val="19"/>
                    </w:rPr>
                    <w:t>抗雨、雾、风、波浪干扰算法。</w:t>
                  </w:r>
                </w:p>
                <w:p>
                  <w:pPr>
                    <w:pStyle w:val="null3"/>
                    <w:jc w:val="left"/>
                  </w:pPr>
                  <w:r>
                    <w:rPr>
                      <w:rFonts w:ascii="仿宋_GB2312" w:hAnsi="仿宋_GB2312" w:cs="仿宋_GB2312" w:eastAsia="仿宋_GB2312"/>
                      <w:sz w:val="19"/>
                      <w:color w:val="1F2329"/>
                    </w:rPr>
                    <w:t>（13）安装方式：</w:t>
                  </w:r>
                  <w:r>
                    <w:rPr>
                      <w:rFonts w:ascii="仿宋_GB2312" w:hAnsi="仿宋_GB2312" w:cs="仿宋_GB2312" w:eastAsia="仿宋_GB2312"/>
                      <w:sz w:val="19"/>
                    </w:rPr>
                    <w:t>桥梁支架/立杆安装。</w:t>
                  </w:r>
                </w:p>
              </w:tc>
            </w:tr>
          </w:tbl>
          <w:p>
            <w:pPr>
              <w:pStyle w:val="null3"/>
              <w:ind w:firstLine="480"/>
            </w:pPr>
            <w:r>
              <w:rPr>
                <w:rFonts w:ascii="仿宋_GB2312" w:hAnsi="仿宋_GB2312" w:cs="仿宋_GB2312" w:eastAsia="仿宋_GB2312"/>
                <w:b/>
              </w:rPr>
              <w:t>四、项目管理要求</w:t>
            </w:r>
          </w:p>
          <w:p>
            <w:pPr>
              <w:pStyle w:val="null3"/>
              <w:ind w:firstLine="480"/>
            </w:pPr>
            <w:r>
              <w:rPr>
                <w:rFonts w:ascii="仿宋_GB2312" w:hAnsi="仿宋_GB2312" w:cs="仿宋_GB2312" w:eastAsia="仿宋_GB2312"/>
                <w:b/>
              </w:rPr>
              <w:t>（一）项目管理实施机构及责任</w:t>
            </w:r>
          </w:p>
          <w:p>
            <w:pPr>
              <w:pStyle w:val="null3"/>
              <w:ind w:firstLine="480"/>
            </w:pPr>
            <w:r>
              <w:rPr>
                <w:rFonts w:ascii="仿宋_GB2312" w:hAnsi="仿宋_GB2312" w:cs="仿宋_GB2312" w:eastAsia="仿宋_GB2312"/>
              </w:rPr>
              <w:t>项目管理机构：西安市水旱灾害防御管理中心</w:t>
            </w:r>
          </w:p>
          <w:p>
            <w:pPr>
              <w:pStyle w:val="null3"/>
              <w:ind w:firstLine="480"/>
            </w:pPr>
            <w:r>
              <w:rPr>
                <w:rFonts w:ascii="仿宋_GB2312" w:hAnsi="仿宋_GB2312" w:cs="仿宋_GB2312" w:eastAsia="仿宋_GB2312"/>
              </w:rPr>
              <w:t>责任：负责项目整体统筹协调，制定运维技术标准，开展设备质量检测，监测数据审核与分析，监督项目实施进度与质量，以及对运维单位的技术考核，组织项目验收等工作。</w:t>
            </w:r>
          </w:p>
          <w:p>
            <w:pPr>
              <w:pStyle w:val="null3"/>
              <w:ind w:firstLine="480"/>
            </w:pPr>
            <w:r>
              <w:rPr>
                <w:rFonts w:ascii="仿宋_GB2312" w:hAnsi="仿宋_GB2312" w:cs="仿宋_GB2312" w:eastAsia="仿宋_GB2312"/>
              </w:rPr>
              <w:t>运维服务单位：负责具体实施项目各项服务内容，建立健全运维管理制度，配备专业技术人员与设备，确保项目按要求完成。</w:t>
            </w:r>
          </w:p>
          <w:p>
            <w:pPr>
              <w:pStyle w:val="null3"/>
              <w:ind w:firstLine="480"/>
            </w:pPr>
            <w:r>
              <w:rPr>
                <w:rFonts w:ascii="仿宋_GB2312" w:hAnsi="仿宋_GB2312" w:cs="仿宋_GB2312" w:eastAsia="仿宋_GB2312"/>
                <w:b/>
              </w:rPr>
              <w:t>（二）服务单位资质与技术人员要求</w:t>
            </w:r>
          </w:p>
          <w:p>
            <w:pPr>
              <w:pStyle w:val="null3"/>
              <w:ind w:firstLine="480"/>
            </w:pPr>
            <w:r>
              <w:rPr>
                <w:rFonts w:ascii="仿宋_GB2312" w:hAnsi="仿宋_GB2312" w:cs="仿宋_GB2312" w:eastAsia="仿宋_GB2312"/>
              </w:rPr>
              <w:t>（1）服务单位：需近3年有同类项目运维经验，无重大质量事故记录。</w:t>
            </w:r>
          </w:p>
          <w:p>
            <w:pPr>
              <w:pStyle w:val="null3"/>
              <w:ind w:firstLine="480"/>
            </w:pPr>
            <w:r>
              <w:rPr>
                <w:rFonts w:ascii="仿宋_GB2312" w:hAnsi="仿宋_GB2312" w:cs="仿宋_GB2312" w:eastAsia="仿宋_GB2312"/>
              </w:rPr>
              <w:t>（2）技术人员要求：配备至少5名具备水文监测、设备维修等专业技能的技术人员；安排1名驻场工程师，负责日常站点状态巡检、故障接报、数据整理及配合前端设备的巡检、维护、故障修复等工作，驻场工程师需具备较强的沟通协调能力与应急处置能力。</w:t>
            </w:r>
          </w:p>
          <w:p>
            <w:pPr>
              <w:pStyle w:val="null3"/>
              <w:ind w:firstLine="480"/>
            </w:pPr>
            <w:r>
              <w:rPr>
                <w:rFonts w:ascii="仿宋_GB2312" w:hAnsi="仿宋_GB2312" w:cs="仿宋_GB2312" w:eastAsia="仿宋_GB2312"/>
                <w:b/>
              </w:rPr>
              <w:t>（三）验收标准及程序</w:t>
            </w:r>
          </w:p>
          <w:p>
            <w:pPr>
              <w:pStyle w:val="null3"/>
              <w:ind w:firstLine="480"/>
            </w:pPr>
            <w:r>
              <w:rPr>
                <w:rFonts w:ascii="仿宋_GB2312" w:hAnsi="仿宋_GB2312" w:cs="仿宋_GB2312" w:eastAsia="仿宋_GB2312"/>
              </w:rPr>
              <w:t>（1）验收标准：严格按照本方案中各项服务内容的技术标准、国家及行业相关规范进行验收，确保设备运行正常、数据质量达标、运维机制完善。</w:t>
            </w:r>
          </w:p>
          <w:p>
            <w:pPr>
              <w:pStyle w:val="null3"/>
              <w:ind w:firstLine="480"/>
            </w:pPr>
            <w:r>
              <w:rPr>
                <w:rFonts w:ascii="仿宋_GB2312" w:hAnsi="仿宋_GB2312" w:cs="仿宋_GB2312" w:eastAsia="仿宋_GB2312"/>
              </w:rPr>
              <w:t>（2）验收程序：项目全部服务内容完成后，服务单位提交验收申请及全套项目资料（包括运维报告、评估报告、验收资料等），项目管理专班组织专家进行综合评审，通过现场检查、资料审核、功能测试等方式进行验收，验收合格后出具验收报告。</w:t>
            </w:r>
          </w:p>
          <w:p>
            <w:pPr>
              <w:pStyle w:val="null3"/>
              <w:ind w:firstLine="480"/>
            </w:pPr>
            <w:r>
              <w:rPr>
                <w:rFonts w:ascii="仿宋_GB2312" w:hAnsi="仿宋_GB2312" w:cs="仿宋_GB2312" w:eastAsia="仿宋_GB2312"/>
                <w:b/>
              </w:rPr>
              <w:t>五、商务要求</w:t>
            </w:r>
          </w:p>
          <w:p>
            <w:pPr>
              <w:pStyle w:val="null3"/>
              <w:ind w:firstLine="400"/>
            </w:pPr>
            <w:r>
              <w:rPr>
                <w:rFonts w:ascii="仿宋_GB2312" w:hAnsi="仿宋_GB2312" w:cs="仿宋_GB2312" w:eastAsia="仿宋_GB2312"/>
              </w:rPr>
              <w:t>（一）服务期：12个月。</w:t>
            </w:r>
          </w:p>
          <w:p>
            <w:pPr>
              <w:pStyle w:val="null3"/>
              <w:ind w:firstLine="400"/>
            </w:pPr>
            <w:r>
              <w:rPr>
                <w:rFonts w:ascii="仿宋_GB2312" w:hAnsi="仿宋_GB2312" w:cs="仿宋_GB2312" w:eastAsia="仿宋_GB2312"/>
              </w:rPr>
              <w:t>（二）服务地点：西安市范围内，具体以采购人指定地点为准。</w:t>
            </w:r>
          </w:p>
          <w:p>
            <w:pPr>
              <w:pStyle w:val="null3"/>
            </w:pPr>
            <w:r>
              <w:rPr>
                <w:rFonts w:ascii="仿宋_GB2312" w:hAnsi="仿宋_GB2312" w:cs="仿宋_GB2312" w:eastAsia="仿宋_GB2312"/>
                <w:b/>
              </w:rPr>
              <w:t>附件：《站点维护明细表》</w:t>
            </w:r>
          </w:p>
          <w:tbl>
            <w:tblPr>
              <w:tblBorders>
                <w:top w:val="none" w:color="000000" w:sz="4"/>
                <w:left w:val="none" w:color="000000" w:sz="4"/>
                <w:bottom w:val="none" w:color="000000" w:sz="4"/>
                <w:right w:val="none" w:color="000000" w:sz="4"/>
                <w:insideH w:val="none"/>
                <w:insideV w:val="none"/>
              </w:tblBorders>
            </w:tblPr>
            <w:tblGrid>
              <w:gridCol w:w="235"/>
              <w:gridCol w:w="624"/>
              <w:gridCol w:w="531"/>
              <w:gridCol w:w="235"/>
              <w:gridCol w:w="180"/>
              <w:gridCol w:w="186"/>
              <w:gridCol w:w="262"/>
              <w:gridCol w:w="323"/>
              <w:gridCol w:w="213"/>
            </w:tblGrid>
            <w:tr>
              <w:tc>
                <w:tcPr>
                  <w:tcW w:type="dxa" w:w="2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序号</w:t>
                  </w:r>
                </w:p>
              </w:tc>
              <w:tc>
                <w:tcPr>
                  <w:tcW w:type="dxa" w:w="624"/>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站点名称</w:t>
                  </w:r>
                </w:p>
              </w:tc>
              <w:tc>
                <w:tcPr>
                  <w:tcW w:type="dxa" w:w="5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站点</w:t>
                  </w:r>
                </w:p>
                <w:p>
                  <w:pPr>
                    <w:pStyle w:val="null3"/>
                    <w:spacing w:after="15"/>
                    <w:jc w:val="center"/>
                  </w:pPr>
                  <w:r>
                    <w:rPr>
                      <w:rFonts w:ascii="仿宋_GB2312" w:hAnsi="仿宋_GB2312" w:cs="仿宋_GB2312" w:eastAsia="仿宋_GB2312"/>
                      <w:sz w:val="20"/>
                      <w:b/>
                      <w:color w:val="000000"/>
                    </w:rPr>
                    <w:t>编码</w:t>
                  </w:r>
                </w:p>
              </w:tc>
              <w:tc>
                <w:tcPr>
                  <w:tcW w:type="dxa" w:w="2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常态化运维</w:t>
                  </w:r>
                </w:p>
              </w:tc>
              <w:tc>
                <w:tcPr>
                  <w:tcW w:type="dxa" w:w="1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状态评估</w:t>
                  </w:r>
                </w:p>
              </w:tc>
              <w:tc>
                <w:tcPr>
                  <w:tcW w:type="dxa" w:w="18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更新</w:t>
                  </w:r>
                  <w:r>
                    <w:rPr>
                      <w:rFonts w:ascii="仿宋_GB2312" w:hAnsi="仿宋_GB2312" w:cs="仿宋_GB2312" w:eastAsia="仿宋_GB2312"/>
                      <w:sz w:val="20"/>
                      <w:b/>
                      <w:color w:val="000000"/>
                    </w:rPr>
                    <w:t>RTU</w:t>
                  </w:r>
                </w:p>
              </w:tc>
              <w:tc>
                <w:tcPr>
                  <w:tcW w:type="dxa" w:w="26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更新</w:t>
                  </w:r>
                </w:p>
                <w:p>
                  <w:pPr>
                    <w:pStyle w:val="null3"/>
                    <w:spacing w:after="15"/>
                    <w:jc w:val="center"/>
                  </w:pPr>
                  <w:r>
                    <w:rPr>
                      <w:rFonts w:ascii="仿宋_GB2312" w:hAnsi="仿宋_GB2312" w:cs="仿宋_GB2312" w:eastAsia="仿宋_GB2312"/>
                      <w:sz w:val="20"/>
                      <w:b/>
                      <w:color w:val="000000"/>
                    </w:rPr>
                    <w:t>雨量计</w:t>
                  </w:r>
                </w:p>
              </w:tc>
              <w:tc>
                <w:tcPr>
                  <w:tcW w:type="dxa" w:w="32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升级</w:t>
                  </w:r>
                </w:p>
                <w:p>
                  <w:pPr>
                    <w:pStyle w:val="null3"/>
                    <w:spacing w:after="15"/>
                    <w:jc w:val="center"/>
                  </w:pPr>
                  <w:r>
                    <w:rPr>
                      <w:rFonts w:ascii="仿宋_GB2312" w:hAnsi="仿宋_GB2312" w:cs="仿宋_GB2312" w:eastAsia="仿宋_GB2312"/>
                      <w:sz w:val="20"/>
                      <w:b/>
                      <w:color w:val="000000"/>
                    </w:rPr>
                    <w:t>流量计</w:t>
                  </w:r>
                </w:p>
              </w:tc>
              <w:tc>
                <w:tcPr>
                  <w:tcW w:type="dxa" w:w="21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水毁重建</w:t>
                  </w:r>
                </w:p>
              </w:tc>
            </w:tr>
            <w:tr>
              <w:tc>
                <w:tcPr>
                  <w:tcW w:type="dxa" w:w="235"/>
                  <w:vMerge/>
                  <w:tcBorders>
                    <w:top w:val="single" w:color="000000" w:sz="4"/>
                    <w:left w:val="single" w:color="000000" w:sz="4"/>
                    <w:bottom w:val="single" w:color="000000" w:sz="4"/>
                    <w:right w:val="single" w:color="000000" w:sz="4"/>
                  </w:tcBorders>
                </w:tcPr>
                <w:p/>
              </w:tc>
              <w:tc>
                <w:tcPr>
                  <w:tcW w:type="dxa" w:w="624"/>
                  <w:vMerge/>
                  <w:tcBorders>
                    <w:top w:val="single" w:color="000000" w:sz="4"/>
                    <w:left w:val="none" w:color="000000" w:sz="4"/>
                    <w:bottom w:val="single" w:color="000000" w:sz="4"/>
                    <w:right w:val="single" w:color="000000" w:sz="4"/>
                  </w:tcBorders>
                </w:tcPr>
                <w:p/>
              </w:tc>
              <w:tc>
                <w:tcPr>
                  <w:tcW w:type="dxa" w:w="531"/>
                  <w:vMerge/>
                  <w:tcBorders>
                    <w:top w:val="single" w:color="000000" w:sz="4"/>
                    <w:left w:val="none" w:color="000000" w:sz="4"/>
                    <w:bottom w:val="single" w:color="000000" w:sz="4"/>
                    <w:right w:val="single" w:color="000000" w:sz="4"/>
                  </w:tcBorders>
                </w:tcPr>
                <w:p/>
              </w:tc>
              <w:tc>
                <w:tcPr>
                  <w:tcW w:type="dxa" w:w="235"/>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262"/>
                  <w:vMerge/>
                  <w:tcBorders>
                    <w:top w:val="single" w:color="000000" w:sz="4"/>
                    <w:left w:val="none" w:color="000000" w:sz="4"/>
                    <w:bottom w:val="single" w:color="000000" w:sz="4"/>
                    <w:right w:val="single" w:color="000000" w:sz="4"/>
                  </w:tcBorders>
                </w:tcPr>
                <w:p/>
              </w:tc>
              <w:tc>
                <w:tcPr>
                  <w:tcW w:type="dxa" w:w="323"/>
                  <w:vMerge/>
                  <w:tcBorders>
                    <w:top w:val="single" w:color="000000" w:sz="4"/>
                    <w:left w:val="none" w:color="000000" w:sz="4"/>
                    <w:bottom w:val="single" w:color="000000" w:sz="4"/>
                    <w:right w:val="single" w:color="000000" w:sz="4"/>
                  </w:tcBorders>
                </w:tcPr>
                <w:p/>
              </w:tc>
              <w:tc>
                <w:tcPr>
                  <w:tcW w:type="dxa" w:w="213"/>
                  <w:vMerge/>
                  <w:tcBorders>
                    <w:top w:val="single" w:color="000000" w:sz="4"/>
                    <w:left w:val="none" w:color="000000" w:sz="4"/>
                    <w:bottom w:val="single" w:color="000000" w:sz="4"/>
                    <w:right w:val="single" w:color="000000" w:sz="4"/>
                  </w:tcBorders>
                </w:tcPr>
                <w:p/>
              </w:tc>
            </w:tr>
            <w:tr>
              <w:tc>
                <w:tcPr>
                  <w:tcW w:type="dxa" w:w="235"/>
                  <w:vMerge/>
                  <w:tcBorders>
                    <w:top w:val="single" w:color="000000" w:sz="4"/>
                    <w:left w:val="single" w:color="000000" w:sz="4"/>
                    <w:bottom w:val="single" w:color="000000" w:sz="4"/>
                    <w:right w:val="single" w:color="000000" w:sz="4"/>
                  </w:tcBorders>
                </w:tcPr>
                <w:p/>
              </w:tc>
              <w:tc>
                <w:tcPr>
                  <w:tcW w:type="dxa" w:w="624"/>
                  <w:vMerge/>
                  <w:tcBorders>
                    <w:top w:val="single" w:color="000000" w:sz="4"/>
                    <w:left w:val="none" w:color="000000" w:sz="4"/>
                    <w:bottom w:val="single" w:color="000000" w:sz="4"/>
                    <w:right w:val="single" w:color="000000" w:sz="4"/>
                  </w:tcBorders>
                </w:tcPr>
                <w:p/>
              </w:tc>
              <w:tc>
                <w:tcPr>
                  <w:tcW w:type="dxa" w:w="531"/>
                  <w:vMerge/>
                  <w:tcBorders>
                    <w:top w:val="single" w:color="000000" w:sz="4"/>
                    <w:left w:val="none" w:color="000000" w:sz="4"/>
                    <w:bottom w:val="single" w:color="000000" w:sz="4"/>
                    <w:right w:val="single" w:color="000000" w:sz="4"/>
                  </w:tcBorders>
                </w:tcPr>
                <w:p/>
              </w:tc>
              <w:tc>
                <w:tcPr>
                  <w:tcW w:type="dxa" w:w="235"/>
                  <w:vMerge/>
                  <w:tcBorders>
                    <w:top w:val="single" w:color="000000" w:sz="4"/>
                    <w:left w:val="none" w:color="000000" w:sz="4"/>
                    <w:bottom w:val="single" w:color="000000" w:sz="4"/>
                    <w:right w:val="single" w:color="000000" w:sz="4"/>
                  </w:tcBorders>
                </w:tcPr>
                <w:p/>
              </w:tc>
              <w:tc>
                <w:tcPr>
                  <w:tcW w:type="dxa" w:w="180"/>
                  <w:vMerge/>
                  <w:tcBorders>
                    <w:top w:val="single" w:color="000000" w:sz="4"/>
                    <w:left w:val="none" w:color="000000" w:sz="4"/>
                    <w:bottom w:val="single" w:color="000000" w:sz="4"/>
                    <w:right w:val="single" w:color="000000" w:sz="4"/>
                  </w:tcBorders>
                </w:tcPr>
                <w:p/>
              </w:tc>
              <w:tc>
                <w:tcPr>
                  <w:tcW w:type="dxa" w:w="186"/>
                  <w:vMerge/>
                  <w:tcBorders>
                    <w:top w:val="single" w:color="000000" w:sz="4"/>
                    <w:left w:val="none" w:color="000000" w:sz="4"/>
                    <w:bottom w:val="single" w:color="000000" w:sz="4"/>
                    <w:right w:val="single" w:color="000000" w:sz="4"/>
                  </w:tcBorders>
                </w:tcPr>
                <w:p/>
              </w:tc>
              <w:tc>
                <w:tcPr>
                  <w:tcW w:type="dxa" w:w="262"/>
                  <w:vMerge/>
                  <w:tcBorders>
                    <w:top w:val="single" w:color="000000" w:sz="4"/>
                    <w:left w:val="none" w:color="000000" w:sz="4"/>
                    <w:bottom w:val="single" w:color="000000" w:sz="4"/>
                    <w:right w:val="single" w:color="000000" w:sz="4"/>
                  </w:tcBorders>
                </w:tcPr>
                <w:p/>
              </w:tc>
              <w:tc>
                <w:tcPr>
                  <w:tcW w:type="dxa" w:w="323"/>
                  <w:vMerge/>
                  <w:tcBorders>
                    <w:top w:val="single" w:color="000000" w:sz="4"/>
                    <w:left w:val="none" w:color="000000" w:sz="4"/>
                    <w:bottom w:val="single" w:color="000000" w:sz="4"/>
                    <w:right w:val="single" w:color="000000" w:sz="4"/>
                  </w:tcBorders>
                </w:tcPr>
                <w:p/>
              </w:tc>
              <w:tc>
                <w:tcPr>
                  <w:tcW w:type="dxa" w:w="213"/>
                  <w:vMerge/>
                  <w:tcBorders>
                    <w:top w:val="single" w:color="000000" w:sz="4"/>
                    <w:left w:val="none" w:color="000000" w:sz="4"/>
                    <w:bottom w:val="single" w:color="000000" w:sz="4"/>
                    <w:right w:val="single" w:color="000000" w:sz="4"/>
                  </w:tcBorders>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塔庙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41111154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对角岔口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80085134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汉城湖</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80085475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杨家沟水库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80085247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耿镇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80085472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草店</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80085476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新丰镇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80085477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武屯</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80085478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皂河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80085479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漕运明渠</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80085480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太平河</w:t>
                  </w:r>
                  <w:r>
                    <w:rPr>
                      <w:rFonts w:ascii="仿宋_GB2312" w:hAnsi="仿宋_GB2312" w:cs="仿宋_GB2312" w:eastAsia="仿宋_GB2312"/>
                      <w:sz w:val="20"/>
                      <w:color w:val="000000"/>
                    </w:rPr>
                    <w:t>8号管理站*</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80085481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野牛河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80085482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关山镇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80085483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东岳乡</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80085484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就峪河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80085487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烽火台</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41111156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管庄</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41111158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大曲</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41111160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双庙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41111162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商家磨</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41111164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坡典</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41111166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张龙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41111168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上宝玉</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41111172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竹沟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41111300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蔡家坡</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41111302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纸房</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41111304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黄柏峪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皂峪河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潭峪河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马王桥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41111350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王曲</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41111352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社教桥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41111354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太乙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41111356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温国堡</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41111358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北强</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41111360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太平河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41111362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洋桥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41111364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祝家湾</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41111400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史家寨</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41111402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冯家沟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41111404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陶沟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宋寨</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玉川</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赛峪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李家沟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辋峪河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红旗</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长乐桥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49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解放桥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胜利</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玉川</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临潼河桥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41111423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交口船闸</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南刘</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芷阳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柳家</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41111427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哑柏</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41141150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南留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41141152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59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仓峪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41141156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前竹塬</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41141158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前黄池</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41141160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周一</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41141164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临川</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41141166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厚畛子</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41141168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焦家坪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41141300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黑龙沟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41141302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凉水泉</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41141304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青三</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69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扯袍峪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41141350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竹沟口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41141354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西岔</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41141356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蛟峪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41141358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太平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41141360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卧佛寺</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41141362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金仙观</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41141364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鸭池峪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41141366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荣家沟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牛心峪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79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罗家芋</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沙坪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曹家湾</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龙渠湾</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熨斗</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41141154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厚镇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常王</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西张坡</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上鲁峪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马额</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89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铁炉</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洪庆沟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白鹿观</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马斜</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南房</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白道峪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41141352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石板头</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高冠河口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80085200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沣峪口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80085201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小峪水库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80085205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99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东涝峪口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80085107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铧咀坪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80085351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阎良水务局</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韩峪水库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80085452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栎阳水库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80085453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龙河水库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80085454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南韩水库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80085455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零河水库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80085456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临潼水务局</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80085457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小金乡</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80085461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109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周家沟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80085462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高陵水务局</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80085471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木子坪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上河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周至水务局</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甘峪水库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吊岩沟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鄠邑水务局</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葛牌</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瓦庙子</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119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何家印</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玉山镇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王爬岭</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80085356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冉家湾</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80085130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大北沟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80085131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苍头岔</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80085132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沙坪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80085133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水寨</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41229200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西太平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41229702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水北桥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41229704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129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慕郑桥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41229706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二龙口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41229708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石井</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新庙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南社</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花里渊</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杜家河坝</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黑石窑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西坡</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白杨坪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139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楼观镇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色草坪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金牛坪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铁炉岔</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栗子坪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苦竹滩</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仁安岔</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终南镇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茅草坪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天堂寺</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149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韩家山</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老虎沟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西骆峪水库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田峪口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耿峪口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80085039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都督门</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80085048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涝店</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甘家梁</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对角岔沟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长坪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159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八里坪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头道峡</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161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大庄坪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河坝</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七里砭</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殷家坡</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龙头沟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80085121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仰天河东</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41111150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仰天河西</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41111152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观音洞</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80085234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169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太兴山</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80085245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汤峪水库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80085307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岱峪水库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鹿塬水库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80085309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杨家崖</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廖家</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白马河水库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三岔河水库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侯家河水库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铁观沟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179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南沟口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板沟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老人沟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华山庙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谢家湾</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巩村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甘家坪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西沟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韩家院子</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龙王庙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189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马鞍桥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大核桃村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张家院子</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滴水岩</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80085329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阎家院</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白龙山</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草坪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黄沙岭</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桑圆村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韩家窝</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199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新店子</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蓝桥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80085339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上寺</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下河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灞源</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张家坪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大岔口村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石木坪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香家庙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蓝田水务局</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80085349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209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三官庙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80085350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刘家沟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80085352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华胥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80085353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王顺山</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80085354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灞桥</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二龙口水库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和平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下半面</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80085529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窝窝子</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三道沟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219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老君滩</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黄岗梁</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钟楼</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市政仁厚庄泵站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80085515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兴善寺东街</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韩森寨</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北二环文景路立交西北角</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仁宗庙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80085485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朱雀门外雨量站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东二环陇海下穿</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80085523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229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鱼化寨</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曲江管委会</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周家湾</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上刘家</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五庙沟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倒流峪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两河口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佐家坪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80085539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姜家坪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238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光头山</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239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银梁东</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东林沟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新东梁</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牛转沟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老安梁</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金羊川</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莫西坪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80085549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耿峪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80085552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247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幸福渠</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80085558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皂河（昆明路）</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80085559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249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青坪站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南石门站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41141399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峪口站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桐花沟站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鸭峪站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窄峪站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白家坪站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官上站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四面沟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毛房沟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80085507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259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大板岔</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拐林沟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80085509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东梁</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静峪脑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80085511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大峪水库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秦渡镇（沣惠渠渠首）</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80085207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许家沟水库</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库峪口</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80085209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鸣犊</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大寺</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269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杨岔庙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80085213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龙窝子</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80085215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北石槽</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兴隆街办</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马王镇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七里坪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后沟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吴家岭</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王曲镇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长安水务局</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279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大坪</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甘湫池</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松花岭</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十里庄</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80085229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大石头</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80085230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三道河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80085231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十里庙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80085232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高砭</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80085233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1</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北沟站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41141413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岱峪站</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41141401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289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青岗树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41141351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张寨沟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41141353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钓鱼台</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41141151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耿峪沟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41141153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田峪沟</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41141155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山任村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杨刘坡村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安沟村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41141429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徐军寨村</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41141431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厅机关大院</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20000001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299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耿西</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41111170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老县城</w:t>
                  </w:r>
                  <w:r>
                    <w:rPr>
                      <w:rFonts w:ascii="仿宋_GB2312" w:hAnsi="仿宋_GB2312" w:cs="仿宋_GB2312" w:eastAsia="仿宋_GB2312"/>
                      <w:sz w:val="20"/>
                      <w:color w:val="000000"/>
                    </w:rPr>
                    <w:t>*（王家河）</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41141162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崇文</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41229550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高庄</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41229562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太平</w:t>
                  </w:r>
                  <w:r>
                    <w:rPr>
                      <w:rFonts w:ascii="仿宋_GB2312" w:hAnsi="仿宋_GB2312" w:cs="仿宋_GB2312" w:eastAsia="仿宋_GB2312"/>
                      <w:sz w:val="20"/>
                      <w:color w:val="000000"/>
                    </w:rPr>
                    <w:t>*</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41229564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黑河</w:t>
                  </w:r>
                  <w:r>
                    <w:rPr>
                      <w:rFonts w:ascii="仿宋_GB2312" w:hAnsi="仿宋_GB2312" w:cs="仿宋_GB2312" w:eastAsia="仿宋_GB2312"/>
                      <w:sz w:val="20"/>
                      <w:color w:val="000000"/>
                    </w:rPr>
                    <w:t>-周至县-磨子山</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黑河</w:t>
                  </w:r>
                  <w:r>
                    <w:rPr>
                      <w:rFonts w:ascii="仿宋_GB2312" w:hAnsi="仿宋_GB2312" w:cs="仿宋_GB2312" w:eastAsia="仿宋_GB2312"/>
                      <w:sz w:val="20"/>
                      <w:color w:val="000000"/>
                    </w:rPr>
                    <w:t>-周至县-沙坝</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栗峪河</w:t>
                  </w:r>
                  <w:r>
                    <w:rPr>
                      <w:rFonts w:ascii="仿宋_GB2312" w:hAnsi="仿宋_GB2312" w:cs="仿宋_GB2312" w:eastAsia="仿宋_GB2312"/>
                      <w:sz w:val="20"/>
                      <w:color w:val="000000"/>
                    </w:rPr>
                    <w:t>-鄠邑区-竹园子</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烧柴峪</w:t>
                  </w:r>
                  <w:r>
                    <w:rPr>
                      <w:rFonts w:ascii="仿宋_GB2312" w:hAnsi="仿宋_GB2312" w:cs="仿宋_GB2312" w:eastAsia="仿宋_GB2312"/>
                      <w:sz w:val="20"/>
                      <w:color w:val="000000"/>
                    </w:rPr>
                    <w:t>-鄠邑区-福慧寺</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鄠邑区</w:t>
                  </w:r>
                  <w:r>
                    <w:rPr>
                      <w:rFonts w:ascii="仿宋_GB2312" w:hAnsi="仿宋_GB2312" w:cs="仿宋_GB2312" w:eastAsia="仿宋_GB2312"/>
                      <w:sz w:val="20"/>
                      <w:color w:val="000000"/>
                    </w:rPr>
                    <w:t>-国家版本馆</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309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抱龙峪</w:t>
                  </w:r>
                  <w:r>
                    <w:rPr>
                      <w:rFonts w:ascii="仿宋_GB2312" w:hAnsi="仿宋_GB2312" w:cs="仿宋_GB2312" w:eastAsia="仿宋_GB2312"/>
                      <w:sz w:val="20"/>
                      <w:color w:val="000000"/>
                    </w:rPr>
                    <w:t>-长安区-杨家崖</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沣河</w:t>
                  </w:r>
                  <w:r>
                    <w:rPr>
                      <w:rFonts w:ascii="仿宋_GB2312" w:hAnsi="仿宋_GB2312" w:cs="仿宋_GB2312" w:eastAsia="仿宋_GB2312"/>
                      <w:sz w:val="20"/>
                      <w:color w:val="000000"/>
                    </w:rPr>
                    <w:t>-长安区-砭子口村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李家河</w:t>
                  </w:r>
                  <w:r>
                    <w:rPr>
                      <w:rFonts w:ascii="仿宋_GB2312" w:hAnsi="仿宋_GB2312" w:cs="仿宋_GB2312" w:eastAsia="仿宋_GB2312"/>
                      <w:sz w:val="20"/>
                      <w:color w:val="000000"/>
                    </w:rPr>
                    <w:t>-蓝田县-大梨园</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李家河</w:t>
                  </w:r>
                  <w:r>
                    <w:rPr>
                      <w:rFonts w:ascii="仿宋_GB2312" w:hAnsi="仿宋_GB2312" w:cs="仿宋_GB2312" w:eastAsia="仿宋_GB2312"/>
                      <w:sz w:val="20"/>
                      <w:color w:val="000000"/>
                    </w:rPr>
                    <w:t>-蓝田县-小梨园5组</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82012009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蓝田县</w:t>
                  </w:r>
                  <w:r>
                    <w:rPr>
                      <w:rFonts w:ascii="仿宋_GB2312" w:hAnsi="仿宋_GB2312" w:cs="仿宋_GB2312" w:eastAsia="仿宋_GB2312"/>
                      <w:sz w:val="20"/>
                      <w:color w:val="000000"/>
                    </w:rPr>
                    <w:t>-磨岔口村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蓝田县</w:t>
                  </w:r>
                  <w:r>
                    <w:rPr>
                      <w:rFonts w:ascii="仿宋_GB2312" w:hAnsi="仿宋_GB2312" w:cs="仿宋_GB2312" w:eastAsia="仿宋_GB2312"/>
                      <w:sz w:val="20"/>
                      <w:color w:val="000000"/>
                    </w:rPr>
                    <w:t>-铁铜沟村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蓝田县</w:t>
                  </w:r>
                  <w:r>
                    <w:rPr>
                      <w:rFonts w:ascii="仿宋_GB2312" w:hAnsi="仿宋_GB2312" w:cs="仿宋_GB2312" w:eastAsia="仿宋_GB2312"/>
                      <w:sz w:val="20"/>
                      <w:color w:val="000000"/>
                    </w:rPr>
                    <w:t>-小河沟</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黑河</w:t>
                  </w:r>
                  <w:r>
                    <w:rPr>
                      <w:rFonts w:ascii="仿宋_GB2312" w:hAnsi="仿宋_GB2312" w:cs="仿宋_GB2312" w:eastAsia="仿宋_GB2312"/>
                      <w:sz w:val="20"/>
                      <w:color w:val="000000"/>
                    </w:rPr>
                    <w:t>-周至县-水磨坪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涝峪河</w:t>
                  </w:r>
                  <w:r>
                    <w:rPr>
                      <w:rFonts w:ascii="仿宋_GB2312" w:hAnsi="仿宋_GB2312" w:cs="仿宋_GB2312" w:eastAsia="仿宋_GB2312"/>
                      <w:sz w:val="20"/>
                      <w:color w:val="000000"/>
                    </w:rPr>
                    <w:t>-鄠邑区-大石头村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涝峪河</w:t>
                  </w:r>
                  <w:r>
                    <w:rPr>
                      <w:rFonts w:ascii="仿宋_GB2312" w:hAnsi="仿宋_GB2312" w:cs="仿宋_GB2312" w:eastAsia="仿宋_GB2312"/>
                      <w:sz w:val="20"/>
                      <w:color w:val="000000"/>
                    </w:rPr>
                    <w:t>-鄠邑区-郭青村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319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涝峪河</w:t>
                  </w:r>
                  <w:r>
                    <w:rPr>
                      <w:rFonts w:ascii="仿宋_GB2312" w:hAnsi="仿宋_GB2312" w:cs="仿宋_GB2312" w:eastAsia="仿宋_GB2312"/>
                      <w:sz w:val="20"/>
                      <w:color w:val="000000"/>
                    </w:rPr>
                    <w:t>-鄠邑区-沙窝村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太平河</w:t>
                  </w:r>
                  <w:r>
                    <w:rPr>
                      <w:rFonts w:ascii="仿宋_GB2312" w:hAnsi="仿宋_GB2312" w:cs="仿宋_GB2312" w:eastAsia="仿宋_GB2312"/>
                      <w:sz w:val="20"/>
                      <w:color w:val="000000"/>
                    </w:rPr>
                    <w:t>-鄠邑区-西寺村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紫沟河</w:t>
                  </w:r>
                  <w:r>
                    <w:rPr>
                      <w:rFonts w:ascii="仿宋_GB2312" w:hAnsi="仿宋_GB2312" w:cs="仿宋_GB2312" w:eastAsia="仿宋_GB2312"/>
                      <w:sz w:val="20"/>
                      <w:color w:val="000000"/>
                    </w:rPr>
                    <w:t>-鄠邑区-紫阁峪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皂峪河</w:t>
                  </w:r>
                  <w:r>
                    <w:rPr>
                      <w:rFonts w:ascii="仿宋_GB2312" w:hAnsi="仿宋_GB2312" w:cs="仿宋_GB2312" w:eastAsia="仿宋_GB2312"/>
                      <w:sz w:val="20"/>
                      <w:color w:val="000000"/>
                    </w:rPr>
                    <w:t>-鄠邑区-菩萨洞</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82012019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鄠邑区</w:t>
                  </w:r>
                  <w:r>
                    <w:rPr>
                      <w:rFonts w:ascii="仿宋_GB2312" w:hAnsi="仿宋_GB2312" w:cs="仿宋_GB2312" w:eastAsia="仿宋_GB2312"/>
                      <w:sz w:val="20"/>
                      <w:color w:val="000000"/>
                    </w:rPr>
                    <w:t>-化羊峪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石川河</w:t>
                  </w:r>
                  <w:r>
                    <w:rPr>
                      <w:rFonts w:ascii="仿宋_GB2312" w:hAnsi="仿宋_GB2312" w:cs="仿宋_GB2312" w:eastAsia="仿宋_GB2312"/>
                      <w:sz w:val="20"/>
                      <w:color w:val="000000"/>
                    </w:rPr>
                    <w:t>-阎良-水北村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流峪河</w:t>
                  </w:r>
                  <w:r>
                    <w:rPr>
                      <w:rFonts w:ascii="仿宋_GB2312" w:hAnsi="仿宋_GB2312" w:cs="仿宋_GB2312" w:eastAsia="仿宋_GB2312"/>
                      <w:sz w:val="20"/>
                      <w:color w:val="000000"/>
                    </w:rPr>
                    <w:t>-蓝田县-阳盘</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新河</w:t>
                  </w:r>
                  <w:r>
                    <w:rPr>
                      <w:rFonts w:ascii="仿宋_GB2312" w:hAnsi="仿宋_GB2312" w:cs="仿宋_GB2312" w:eastAsia="仿宋_GB2312"/>
                      <w:sz w:val="20"/>
                      <w:color w:val="000000"/>
                    </w:rPr>
                    <w:t>-秦都区-入渭口</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沣河</w:t>
                  </w:r>
                  <w:r>
                    <w:rPr>
                      <w:rFonts w:ascii="仿宋_GB2312" w:hAnsi="仿宋_GB2312" w:cs="仿宋_GB2312" w:eastAsia="仿宋_GB2312"/>
                      <w:sz w:val="20"/>
                      <w:color w:val="000000"/>
                    </w:rPr>
                    <w:t>-长安区-佘家湾村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328</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岱峪河</w:t>
                  </w:r>
                  <w:r>
                    <w:rPr>
                      <w:rFonts w:ascii="仿宋_GB2312" w:hAnsi="仿宋_GB2312" w:cs="仿宋_GB2312" w:eastAsia="仿宋_GB2312"/>
                      <w:sz w:val="20"/>
                      <w:color w:val="000000"/>
                    </w:rPr>
                    <w:t>-蓝田县-牛角沟村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329</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蓝桥河</w:t>
                  </w:r>
                  <w:r>
                    <w:rPr>
                      <w:rFonts w:ascii="仿宋_GB2312" w:hAnsi="仿宋_GB2312" w:cs="仿宋_GB2312" w:eastAsia="仿宋_GB2312"/>
                      <w:sz w:val="20"/>
                      <w:color w:val="000000"/>
                    </w:rPr>
                    <w:t>-蓝田县-扇车沟村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82012026</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330</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泾河</w:t>
                  </w:r>
                  <w:r>
                    <w:rPr>
                      <w:rFonts w:ascii="仿宋_GB2312" w:hAnsi="仿宋_GB2312" w:cs="仿宋_GB2312" w:eastAsia="仿宋_GB2312"/>
                      <w:sz w:val="20"/>
                      <w:color w:val="000000"/>
                    </w:rPr>
                    <w:t>-泾阳县-樊家村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82012027</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331</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玉川河</w:t>
                  </w:r>
                  <w:r>
                    <w:rPr>
                      <w:rFonts w:ascii="仿宋_GB2312" w:hAnsi="仿宋_GB2312" w:cs="仿宋_GB2312" w:eastAsia="仿宋_GB2312"/>
                      <w:sz w:val="20"/>
                      <w:color w:val="000000"/>
                    </w:rPr>
                    <w:t>-蓝田县-七安子村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82012028</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332</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车峪</w:t>
                  </w:r>
                  <w:r>
                    <w:rPr>
                      <w:rFonts w:ascii="仿宋_GB2312" w:hAnsi="仿宋_GB2312" w:cs="仿宋_GB2312" w:eastAsia="仿宋_GB2312"/>
                      <w:sz w:val="20"/>
                      <w:color w:val="000000"/>
                    </w:rPr>
                    <w:t>-周至县-庙沟</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82012029</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333</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就峪河</w:t>
                  </w:r>
                  <w:r>
                    <w:rPr>
                      <w:rFonts w:ascii="仿宋_GB2312" w:hAnsi="仿宋_GB2312" w:cs="仿宋_GB2312" w:eastAsia="仿宋_GB2312"/>
                      <w:sz w:val="20"/>
                      <w:color w:val="000000"/>
                    </w:rPr>
                    <w:t>-周至县-前就峪</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82012030</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334</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田峪河</w:t>
                  </w:r>
                  <w:r>
                    <w:rPr>
                      <w:rFonts w:ascii="仿宋_GB2312" w:hAnsi="仿宋_GB2312" w:cs="仿宋_GB2312" w:eastAsia="仿宋_GB2312"/>
                      <w:sz w:val="20"/>
                      <w:color w:val="000000"/>
                    </w:rPr>
                    <w:t>-周至县-九龙村4队</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82012031</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335</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大峪河</w:t>
                  </w:r>
                  <w:r>
                    <w:rPr>
                      <w:rFonts w:ascii="仿宋_GB2312" w:hAnsi="仿宋_GB2312" w:cs="仿宋_GB2312" w:eastAsia="仿宋_GB2312"/>
                      <w:sz w:val="20"/>
                      <w:color w:val="000000"/>
                    </w:rPr>
                    <w:t>-长安区-新贯寺村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82012032</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336</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太峪河</w:t>
                  </w:r>
                  <w:r>
                    <w:rPr>
                      <w:rFonts w:ascii="仿宋_GB2312" w:hAnsi="仿宋_GB2312" w:cs="仿宋_GB2312" w:eastAsia="仿宋_GB2312"/>
                      <w:sz w:val="20"/>
                      <w:color w:val="000000"/>
                    </w:rPr>
                    <w:t>-长安区-太乙村二组</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82012033</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337</w:t>
                  </w:r>
                </w:p>
              </w:tc>
              <w:tc>
                <w:tcPr>
                  <w:tcW w:type="dxa" w:w="6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长安区</w:t>
                  </w:r>
                  <w:r>
                    <w:rPr>
                      <w:rFonts w:ascii="仿宋_GB2312" w:hAnsi="仿宋_GB2312" w:cs="仿宋_GB2312" w:eastAsia="仿宋_GB2312"/>
                      <w:sz w:val="20"/>
                      <w:color w:val="000000"/>
                    </w:rPr>
                    <w:t>-羊峪口村</w:t>
                  </w:r>
                </w:p>
              </w:tc>
              <w:tc>
                <w:tcPr>
                  <w:tcW w:type="dxa" w:w="5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82012034</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3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338</w:t>
                  </w:r>
                </w:p>
              </w:tc>
              <w:tc>
                <w:tcPr>
                  <w:tcW w:type="dxa" w:w="62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蓝田县</w:t>
                  </w:r>
                  <w:r>
                    <w:rPr>
                      <w:rFonts w:ascii="仿宋_GB2312" w:hAnsi="仿宋_GB2312" w:cs="仿宋_GB2312" w:eastAsia="仿宋_GB2312"/>
                      <w:sz w:val="20"/>
                      <w:color w:val="000000"/>
                    </w:rPr>
                    <w:t>_焦岱镇_大洋峪村</w:t>
                  </w:r>
                </w:p>
              </w:tc>
              <w:tc>
                <w:tcPr>
                  <w:tcW w:type="dxa" w:w="53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82012035</w:t>
                  </w:r>
                </w:p>
              </w:tc>
              <w:tc>
                <w:tcPr>
                  <w:tcW w:type="dxa" w:w="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color w:val="000000"/>
                    </w:rPr>
                    <w:t>1</w:t>
                  </w:r>
                </w:p>
              </w:tc>
              <w:tc>
                <w:tcPr>
                  <w:tcW w:type="dxa" w:w="1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9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color w:val="000000"/>
                    </w:rPr>
                    <w:t>合计</w:t>
                  </w:r>
                </w:p>
              </w:tc>
              <w:tc>
                <w:tcPr>
                  <w:tcW w:type="dxa" w:w="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148</w:t>
                  </w:r>
                </w:p>
              </w:tc>
              <w:tc>
                <w:tcPr>
                  <w:tcW w:type="dxa" w:w="1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85</w:t>
                  </w:r>
                </w:p>
              </w:tc>
              <w:tc>
                <w:tcPr>
                  <w:tcW w:type="dxa" w:w="1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88</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88</w:t>
                  </w:r>
                </w:p>
              </w:tc>
              <w:tc>
                <w:tcPr>
                  <w:tcW w:type="dxa" w:w="3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5"/>
                    <w:jc w:val="center"/>
                  </w:pPr>
                  <w:r>
                    <w:rPr>
                      <w:rFonts w:ascii="仿宋_GB2312" w:hAnsi="仿宋_GB2312" w:cs="仿宋_GB2312" w:eastAsia="仿宋_GB2312"/>
                      <w:sz w:val="20"/>
                      <w:b/>
                      <w:color w:val="000000"/>
                    </w:rPr>
                    <w:t>4</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西安市范围内，具体以采购人指定地点为准。</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6月30日前</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11月底汛期结束后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所属行业为：其他未列明行业（根据《中小企业划型标准规定》（工信部联企业〔2011〕300号），其他未列明行业划分标准为“从业人员300人以下的为中小微型企业。其中，从业人员100人及以上的为中型企业；从业人员10人及以上的为小型企业；从业人员10人以下的为微型企业”）。（2）因系统格式设置无法调整，合同付款支付要求以第八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提供具有审计资质单位出具的2024或2025年度经审计的财务报告，成立时间至提交响应文件截止时间不足一年的可提供成立后任意时段的资产负债表），或其开标前六个月内基本开户银行出具的资信证明，或信用担保机构出具的投标担保函（以上三种形式的资料提供任何一种即可）。分支机构参与投标时，须另提供总公司授权或出具总公司的有关文件或制度等能够证明总公司授权其独立开展业务的证明，但其民事责任由其总公司承担。基本资格条件中可以提供总公司或分支机构经审计的财务报告。（以上内容响应文件中提供复印件或扫描件并进行电子签章。</w:t>
            </w:r>
          </w:p>
        </w:tc>
        <w:tc>
          <w:tcPr>
            <w:tcW w:type="dxa" w:w="1661"/>
          </w:tcPr>
          <w:p>
            <w:pPr>
              <w:pStyle w:val="null3"/>
            </w:pPr>
            <w:r>
              <w:rPr>
                <w:rFonts w:ascii="仿宋_GB2312" w:hAnsi="仿宋_GB2312" w:cs="仿宋_GB2312" w:eastAsia="仿宋_GB2312"/>
              </w:rPr>
              <w:t>健全的财务会计制度的证明材料.docx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w:t>
            </w:r>
          </w:p>
        </w:tc>
        <w:tc>
          <w:tcPr>
            <w:tcW w:type="dxa" w:w="3322"/>
          </w:tcPr>
          <w:p>
            <w:pPr>
              <w:pStyle w:val="null3"/>
            </w:pPr>
            <w:r>
              <w:rPr>
                <w:rFonts w:ascii="仿宋_GB2312" w:hAnsi="仿宋_GB2312" w:cs="仿宋_GB2312" w:eastAsia="仿宋_GB2312"/>
              </w:rPr>
              <w:t>①提供响应文件递交截止时间前6个月内任意时段已缴纳的纳税证明或完税证明（纳税证明或完税证明上应有代收机构或税务机关的公章或业务专用章）；②提供响应文件递交截止时间前6个月内任意时段已缴纳的社会保障资金的证明（社会保障资金缴存单据或社保机构开具的社会保险参保缴费情况证明等)。</w:t>
            </w:r>
          </w:p>
        </w:tc>
        <w:tc>
          <w:tcPr>
            <w:tcW w:type="dxa" w:w="1661"/>
          </w:tcPr>
          <w:p>
            <w:pPr>
              <w:pStyle w:val="null3"/>
            </w:pPr>
            <w:r>
              <w:rPr>
                <w:rFonts w:ascii="仿宋_GB2312" w:hAnsi="仿宋_GB2312" w:cs="仿宋_GB2312" w:eastAsia="仿宋_GB2312"/>
              </w:rPr>
              <w:t>依法缴纳税收和社会保障资金.docx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提供具有履行本合同所必需的设备和专业技术能力的书面声明。</w:t>
            </w:r>
          </w:p>
        </w:tc>
        <w:tc>
          <w:tcPr>
            <w:tcW w:type="dxa" w:w="1661"/>
          </w:tcPr>
          <w:p>
            <w:pPr>
              <w:pStyle w:val="null3"/>
            </w:pPr>
            <w:r>
              <w:rPr>
                <w:rFonts w:ascii="仿宋_GB2312" w:hAnsi="仿宋_GB2312" w:cs="仿宋_GB2312" w:eastAsia="仿宋_GB2312"/>
              </w:rPr>
              <w:t>履行本合同所必需的设备和专业技术能力.docx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无重大违法记录书面声明.docx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自提交响应文件的截止之日起不少于90个日历日。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总体理解及认识</w:t>
            </w:r>
          </w:p>
        </w:tc>
        <w:tc>
          <w:tcPr>
            <w:tcW w:type="dxa" w:w="2492"/>
          </w:tcPr>
          <w:p>
            <w:pPr>
              <w:pStyle w:val="null3"/>
            </w:pPr>
            <w:r>
              <w:rPr>
                <w:rFonts w:ascii="仿宋_GB2312" w:hAnsi="仿宋_GB2312" w:cs="仿宋_GB2312" w:eastAsia="仿宋_GB2312"/>
              </w:rPr>
              <w:t>内容至少包括①总体理解；②背景分析及服务标准；③重难点分析及解决措施等。 评审标准：总体理解及认识各部分内容全面详细、阐述条理清晰详尽、符合本项目采购需求得6分，每缺一项内容扣2分，评审内容有瑕疵的根据情况扣分，扣完为止。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内容至少包括①148处站点常态化运维保障方案；②10处河道水位站改造提升服务方案；③4处站点修复方案；④88处站点传输设备更新方案；⑤85处站点运行状态评估方案等。 评审标准：服务方案各部分内容全面详细、阐述条理清晰详尽、符合本项目采购需求得20分，每缺一项内容扣4分，评审内容有瑕疵的根据情况扣分，扣完为止。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内容至少包括①①项目进度保障措施；②成果保障措施；③安全保障措施；④风险保障措施等。 评审标准：服务保障措施各部分内容全面详细、阐述条理清晰详尽、符合本项目采购需求得12分，每缺一项内容扣3分，评审内容有瑕疵的根据情况扣分，扣完为止。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内容至少包括①业务质量控制制度；②档案管理制度；③风险控制制度；④保密制度（保密手段、人员保密管理、保密承诺等）等。 评审标准：管理制度各部分内容全面详细、阐述条理清晰详尽、符合本项目采购需求得12分，每缺一项内容扣3分，评审内容有瑕疵的根据情况扣分，扣完为止。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拟投入人员配备方案</w:t>
            </w:r>
          </w:p>
        </w:tc>
        <w:tc>
          <w:tcPr>
            <w:tcW w:type="dxa" w:w="2492"/>
          </w:tcPr>
          <w:p>
            <w:pPr>
              <w:pStyle w:val="null3"/>
            </w:pPr>
            <w:r>
              <w:rPr>
                <w:rFonts w:ascii="仿宋_GB2312" w:hAnsi="仿宋_GB2312" w:cs="仿宋_GB2312" w:eastAsia="仿宋_GB2312"/>
              </w:rPr>
              <w:t>内容至少包括①项目组织机构；②团队人员配置清单（至少5名具备水文监测、设备维修等专业技能的技术人员并安排1名驻场工程师）；③各专业岗位职责安排；④团队管理制度（人员管理、任务委派、奖惩制度等）。 评审标准：拟投入人员配备方案各部分内容全面详细、阐述条理清晰详尽、符合本项目采购需求得16分，每缺一项内容扣4分，评审内容有瑕疵的根据情况扣分，扣完为止。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拟投入仪器设备配备方案</w:t>
            </w:r>
          </w:p>
        </w:tc>
        <w:tc>
          <w:tcPr>
            <w:tcW w:type="dxa" w:w="2492"/>
          </w:tcPr>
          <w:p>
            <w:pPr>
              <w:pStyle w:val="null3"/>
            </w:pPr>
            <w:r>
              <w:rPr>
                <w:rFonts w:ascii="仿宋_GB2312" w:hAnsi="仿宋_GB2312" w:cs="仿宋_GB2312" w:eastAsia="仿宋_GB2312"/>
              </w:rPr>
              <w:t>内容至少包括①设备清单（名称、数量、规格型号技术参数等）；②设备性能及用途；③设备来源渠道证明；④设备检/审标识或相关报告等。 评审标准：拟投入仪器设备配备方案各部分内容全面详细、阐述条理清晰详尽、符合本项目采购需求得8分，每缺一项内容扣2分，评审内容有瑕疵的根据情况扣分，扣完为止。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内容至少包括①应急响应安排及措施；②应急演练方案；③应急常识宣传等。 评审标准：突发事件应急预案各部分内容全面详细、阐述条理清晰详尽、符合本项目采购需求得6分，每缺一项内容扣2分，评审内容有瑕疵的根据情况扣分，扣完为止。 备注：评审内容“瑕疵”是指：内容粗略、逻辑混乱、描述过于简单、与项目特点不匹配、逻辑漏洞、出现常识性错误、存在不适用项目实际情况的情形或只有标题没有实质性内容等。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服务方案响应说明.docx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供应商提供2023年03月01日至今（以合同签订时间为准）的类似项目业绩，每提供一份得2分，满分10分。 注：响应文件中提供合同复印件加盖供应商公章。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业绩的有关证明材料.docx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满足磋商文件要求且最后报价最低的价格为评审基准价，其价格分为满分。其他供应商的价格分统一按照下列公式计算：磋商报价得分=(评审基准价／最后报价)×价格权值×100。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费用组成明细表.docx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详见附件：健全的财务会计制度的证明材料.docx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详见附件：依法缴纳税收和社会保障资金.docx</w:t>
      </w:r>
    </w:p>
    <w:p>
      <w:pPr>
        <w:pStyle w:val="null3"/>
        <w:ind w:firstLine="960"/>
      </w:pPr>
      <w:r>
        <w:rPr>
          <w:rFonts w:ascii="仿宋_GB2312" w:hAnsi="仿宋_GB2312" w:cs="仿宋_GB2312" w:eastAsia="仿宋_GB2312"/>
        </w:rPr>
        <w:t>详见附件：履行本合同所必需的设备和专业技术能力.docx</w:t>
      </w:r>
    </w:p>
    <w:p>
      <w:pPr>
        <w:pStyle w:val="null3"/>
        <w:ind w:firstLine="960"/>
      </w:pPr>
      <w:r>
        <w:rPr>
          <w:rFonts w:ascii="仿宋_GB2312" w:hAnsi="仿宋_GB2312" w:cs="仿宋_GB2312" w:eastAsia="仿宋_GB2312"/>
        </w:rPr>
        <w:t>详见附件：无重大违法记录书面声明.docx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