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4B303">
      <w:pPr>
        <w:pStyle w:val="7"/>
        <w:jc w:val="center"/>
        <w:outlineLvl w:val="0"/>
        <w:rPr>
          <w:highlight w:val="none"/>
        </w:rPr>
      </w:pPr>
      <w:bookmarkStart w:id="0" w:name="_Toc26822"/>
      <w:r>
        <w:rPr>
          <w:rFonts w:ascii="仿宋_GB2312" w:hAnsi="仿宋_GB2312" w:eastAsia="仿宋_GB2312" w:cs="仿宋_GB2312"/>
          <w:b/>
          <w:sz w:val="36"/>
          <w:highlight w:val="none"/>
        </w:rPr>
        <w:t xml:space="preserve"> 拟签订采购合同文本</w:t>
      </w:r>
      <w:bookmarkEnd w:id="0"/>
    </w:p>
    <w:p w14:paraId="42D4B328">
      <w:pPr>
        <w:keepNext w:val="0"/>
        <w:keepLines w:val="0"/>
        <w:pageBreakBefore w:val="0"/>
        <w:widowControl w:val="0"/>
        <w:kinsoku/>
        <w:overflowPunct/>
        <w:topLinePunct w:val="0"/>
        <w:autoSpaceDE/>
        <w:autoSpaceDN/>
        <w:bidi w:val="0"/>
        <w:adjustRightInd/>
        <w:snapToGrid/>
        <w:spacing w:line="480" w:lineRule="exact"/>
        <w:jc w:val="both"/>
        <w:textAlignment w:val="auto"/>
        <w:rPr>
          <w:rFonts w:hint="eastAsia" w:ascii="黑体" w:hAnsi="宋体" w:eastAsia="黑体" w:cs="仿宋_GB2312"/>
          <w:color w:val="000000"/>
          <w:sz w:val="32"/>
          <w:szCs w:val="32"/>
          <w:highlight w:val="none"/>
        </w:rPr>
      </w:pPr>
      <w:r>
        <w:rPr>
          <w:rFonts w:hint="eastAsia" w:ascii="黑体" w:hAnsi="宋体" w:eastAsia="黑体" w:cs="仿宋_GB2312"/>
          <w:color w:val="000000"/>
          <w:sz w:val="32"/>
          <w:szCs w:val="32"/>
          <w:highlight w:val="none"/>
        </w:rPr>
        <w:t xml:space="preserve">项目名称：                                </w:t>
      </w:r>
    </w:p>
    <w:p w14:paraId="6EC71E50">
      <w:pPr>
        <w:rPr>
          <w:rFonts w:hint="eastAsia" w:ascii="黑体" w:eastAsia="黑体"/>
          <w:b/>
          <w:color w:val="000000"/>
          <w:sz w:val="32"/>
          <w:szCs w:val="32"/>
          <w:highlight w:val="none"/>
        </w:rPr>
      </w:pPr>
      <w:r>
        <w:rPr>
          <w:rFonts w:hint="eastAsia" w:ascii="黑体" w:hAnsi="宋体" w:eastAsia="黑体" w:cs="仿宋_GB2312"/>
          <w:color w:val="000000"/>
          <w:sz w:val="32"/>
          <w:szCs w:val="32"/>
          <w:highlight w:val="none"/>
        </w:rPr>
        <w:t>项目编号：</w:t>
      </w:r>
      <w:r>
        <w:rPr>
          <w:rFonts w:hint="eastAsia" w:ascii="黑体" w:eastAsia="黑体"/>
          <w:b/>
          <w:color w:val="000000"/>
          <w:sz w:val="32"/>
          <w:szCs w:val="32"/>
          <w:highlight w:val="none"/>
        </w:rPr>
        <w:t xml:space="preserve">                    </w:t>
      </w:r>
    </w:p>
    <w:p w14:paraId="2B92BC65">
      <w:pPr>
        <w:rPr>
          <w:rFonts w:hint="eastAsia" w:ascii="黑体" w:eastAsia="黑体"/>
          <w:color w:val="000000"/>
          <w:sz w:val="52"/>
          <w:szCs w:val="52"/>
          <w:highlight w:val="none"/>
        </w:rPr>
      </w:pPr>
    </w:p>
    <w:p w14:paraId="3D171623">
      <w:pPr>
        <w:rPr>
          <w:rFonts w:hint="eastAsia" w:ascii="黑体" w:eastAsia="黑体"/>
          <w:color w:val="000000"/>
          <w:sz w:val="52"/>
          <w:szCs w:val="52"/>
          <w:highlight w:val="none"/>
        </w:rPr>
      </w:pPr>
    </w:p>
    <w:p w14:paraId="60DC3BC9">
      <w:pPr>
        <w:jc w:val="center"/>
        <w:rPr>
          <w:rFonts w:hint="eastAsia" w:ascii="黑体" w:hAnsi="宋体" w:eastAsia="黑体" w:cs="仿宋_GB2312"/>
          <w:bCs/>
          <w:color w:val="000000"/>
          <w:sz w:val="52"/>
          <w:szCs w:val="52"/>
          <w:highlight w:val="none"/>
        </w:rPr>
      </w:pPr>
      <w:r>
        <w:rPr>
          <w:rFonts w:hint="eastAsia" w:ascii="黑体" w:hAnsi="宋体" w:eastAsia="黑体" w:cs="仿宋_GB2312"/>
          <w:bCs/>
          <w:color w:val="000000"/>
          <w:sz w:val="52"/>
          <w:szCs w:val="52"/>
          <w:highlight w:val="none"/>
        </w:rPr>
        <w:t>西安市人民医院（西安市第四医院）</w:t>
      </w:r>
    </w:p>
    <w:p w14:paraId="3ED1C8BE">
      <w:pPr>
        <w:jc w:val="center"/>
        <w:rPr>
          <w:rFonts w:ascii="黑体" w:eastAsia="黑体"/>
          <w:b/>
          <w:color w:val="000000"/>
          <w:sz w:val="72"/>
          <w:szCs w:val="72"/>
          <w:highlight w:val="none"/>
        </w:rPr>
      </w:pPr>
      <w:r>
        <w:rPr>
          <w:rFonts w:hint="eastAsia" w:ascii="黑体" w:hAnsi="黑体" w:eastAsia="黑体" w:cs="黑体"/>
          <w:bCs/>
          <w:snapToGrid w:val="0"/>
          <w:color w:val="000000"/>
          <w:sz w:val="52"/>
          <w:szCs w:val="52"/>
          <w:highlight w:val="none"/>
          <w:lang w:val="en-US" w:eastAsia="zh-CN"/>
        </w:rPr>
        <w:t>基础</w:t>
      </w:r>
      <w:r>
        <w:rPr>
          <w:rFonts w:hint="eastAsia" w:ascii="黑体" w:hAnsi="黑体" w:eastAsia="黑体" w:cs="黑体"/>
          <w:bCs/>
          <w:snapToGrid w:val="0"/>
          <w:color w:val="000000"/>
          <w:sz w:val="52"/>
          <w:szCs w:val="52"/>
          <w:highlight w:val="none"/>
        </w:rPr>
        <w:t>设备采购合同</w:t>
      </w:r>
    </w:p>
    <w:p w14:paraId="317018C7">
      <w:pPr>
        <w:jc w:val="center"/>
        <w:rPr>
          <w:rFonts w:hint="eastAsia" w:ascii="黑体" w:eastAsia="黑体"/>
          <w:color w:val="000000"/>
          <w:sz w:val="30"/>
          <w:szCs w:val="30"/>
          <w:highlight w:val="none"/>
        </w:rPr>
      </w:pPr>
    </w:p>
    <w:p w14:paraId="256E2F06">
      <w:pPr>
        <w:jc w:val="both"/>
        <w:rPr>
          <w:rFonts w:hint="eastAsia" w:ascii="黑体" w:eastAsia="黑体"/>
          <w:color w:val="000000"/>
          <w:sz w:val="30"/>
          <w:szCs w:val="30"/>
          <w:highlight w:val="none"/>
        </w:rPr>
      </w:pPr>
    </w:p>
    <w:p w14:paraId="78DF1A60">
      <w:pPr>
        <w:rPr>
          <w:rFonts w:hint="eastAsia" w:ascii="黑体" w:eastAsia="黑体"/>
          <w:color w:val="000000"/>
          <w:sz w:val="30"/>
          <w:szCs w:val="30"/>
          <w:highlight w:val="none"/>
        </w:rPr>
      </w:pPr>
    </w:p>
    <w:p w14:paraId="28DCFEDB">
      <w:pPr>
        <w:jc w:val="both"/>
        <w:rPr>
          <w:rFonts w:hint="eastAsia" w:ascii="黑体" w:eastAsia="黑体"/>
          <w:color w:val="000000"/>
          <w:sz w:val="30"/>
          <w:szCs w:val="30"/>
          <w:highlight w:val="none"/>
        </w:rPr>
      </w:pPr>
    </w:p>
    <w:p w14:paraId="26307A84">
      <w:pPr>
        <w:jc w:val="center"/>
        <w:rPr>
          <w:rFonts w:hint="eastAsia" w:ascii="黑体" w:eastAsia="黑体"/>
          <w:color w:val="000000"/>
          <w:sz w:val="30"/>
          <w:szCs w:val="30"/>
          <w:highlight w:val="none"/>
        </w:rPr>
      </w:pPr>
    </w:p>
    <w:p w14:paraId="743B8663">
      <w:pPr>
        <w:jc w:val="center"/>
        <w:rPr>
          <w:rFonts w:hint="eastAsia" w:ascii="黑体" w:eastAsia="黑体"/>
          <w:color w:val="000000"/>
          <w:sz w:val="30"/>
          <w:szCs w:val="30"/>
          <w:highlight w:val="none"/>
        </w:rPr>
      </w:pPr>
    </w:p>
    <w:p w14:paraId="0E67A17A">
      <w:pPr>
        <w:jc w:val="center"/>
        <w:rPr>
          <w:rFonts w:hint="eastAsia" w:ascii="黑体" w:eastAsia="黑体"/>
          <w:color w:val="000000"/>
          <w:sz w:val="30"/>
          <w:szCs w:val="30"/>
          <w:highlight w:val="none"/>
        </w:rPr>
      </w:pPr>
    </w:p>
    <w:p w14:paraId="162AB17F">
      <w:pPr>
        <w:ind w:firstLine="2080" w:firstLineChars="650"/>
        <w:rPr>
          <w:rFonts w:hint="eastAsia" w:ascii="黑体" w:eastAsia="黑体"/>
          <w:color w:val="000000"/>
          <w:sz w:val="32"/>
          <w:szCs w:val="32"/>
          <w:highlight w:val="none"/>
        </w:rPr>
      </w:pPr>
      <w:r>
        <w:rPr>
          <w:rFonts w:hint="eastAsia" w:ascii="黑体" w:eastAsia="黑体"/>
          <w:color w:val="000000"/>
          <w:sz w:val="32"/>
          <w:szCs w:val="32"/>
          <w:highlight w:val="none"/>
        </w:rPr>
        <w:t>甲  方：西安市人民医院（</w:t>
      </w:r>
      <w:r>
        <w:rPr>
          <w:rFonts w:hint="eastAsia" w:ascii="黑体" w:hAnsi="宋体" w:eastAsia="黑体"/>
          <w:color w:val="000000"/>
          <w:sz w:val="32"/>
          <w:szCs w:val="32"/>
          <w:highlight w:val="none"/>
        </w:rPr>
        <w:t>西安市第四医院</w:t>
      </w:r>
      <w:r>
        <w:rPr>
          <w:rFonts w:hint="eastAsia" w:ascii="黑体" w:eastAsia="黑体"/>
          <w:color w:val="000000"/>
          <w:sz w:val="32"/>
          <w:szCs w:val="32"/>
          <w:highlight w:val="none"/>
        </w:rPr>
        <w:t>）</w:t>
      </w:r>
    </w:p>
    <w:p w14:paraId="1F4E01AC">
      <w:pPr>
        <w:tabs>
          <w:tab w:val="left" w:pos="480"/>
        </w:tabs>
        <w:ind w:firstLine="640" w:firstLineChars="200"/>
        <w:rPr>
          <w:rFonts w:hint="eastAsia" w:ascii="黑体" w:hAnsi="黑体" w:eastAsia="黑体"/>
          <w:color w:val="000000"/>
          <w:sz w:val="32"/>
          <w:szCs w:val="32"/>
          <w:highlight w:val="none"/>
        </w:rPr>
      </w:pPr>
      <w:r>
        <w:rPr>
          <w:rFonts w:hint="eastAsia" w:ascii="黑体" w:eastAsia="黑体"/>
          <w:color w:val="000000"/>
          <w:sz w:val="32"/>
          <w:szCs w:val="32"/>
          <w:highlight w:val="none"/>
        </w:rPr>
        <w:t xml:space="preserve">         </w:t>
      </w:r>
      <w:r>
        <w:rPr>
          <w:rFonts w:hint="eastAsia" w:ascii="黑体" w:hAnsi="黑体" w:eastAsia="黑体"/>
          <w:color w:val="000000"/>
          <w:sz w:val="32"/>
          <w:szCs w:val="32"/>
          <w:highlight w:val="none"/>
        </w:rPr>
        <w:t>乙  方：</w:t>
      </w:r>
    </w:p>
    <w:p w14:paraId="320B2BC6">
      <w:pPr>
        <w:rPr>
          <w:rFonts w:hint="eastAsia" w:ascii="黑体" w:eastAsia="黑体"/>
          <w:color w:val="000000"/>
          <w:sz w:val="32"/>
          <w:szCs w:val="32"/>
          <w:highlight w:val="none"/>
        </w:rPr>
      </w:pPr>
      <w:r>
        <w:rPr>
          <w:rFonts w:hint="eastAsia" w:ascii="黑体" w:eastAsia="黑体"/>
          <w:color w:val="000000"/>
          <w:sz w:val="32"/>
          <w:szCs w:val="32"/>
          <w:highlight w:val="none"/>
        </w:rPr>
        <w:t xml:space="preserve">             </w:t>
      </w:r>
      <w:r>
        <w:rPr>
          <w:rFonts w:hint="eastAsia" w:ascii="宋体" w:hAnsi="宋体"/>
          <w:b/>
          <w:color w:val="000000"/>
          <w:sz w:val="32"/>
          <w:szCs w:val="21"/>
          <w:highlight w:val="none"/>
        </w:rPr>
        <w:t>鉴证</w:t>
      </w:r>
      <w:r>
        <w:rPr>
          <w:rFonts w:hint="eastAsia" w:ascii="黑体" w:eastAsia="黑体"/>
          <w:color w:val="000000"/>
          <w:sz w:val="32"/>
          <w:szCs w:val="32"/>
          <w:highlight w:val="none"/>
        </w:rPr>
        <w:t>方：</w:t>
      </w:r>
    </w:p>
    <w:p w14:paraId="73B9EA99">
      <w:pPr>
        <w:jc w:val="center"/>
        <w:rPr>
          <w:rFonts w:hint="eastAsia" w:ascii="黑体" w:eastAsia="黑体"/>
          <w:color w:val="000000"/>
          <w:sz w:val="30"/>
          <w:szCs w:val="30"/>
          <w:highlight w:val="none"/>
        </w:rPr>
      </w:pPr>
    </w:p>
    <w:p w14:paraId="2760D36F">
      <w:pPr>
        <w:jc w:val="center"/>
        <w:rPr>
          <w:rFonts w:hint="eastAsia" w:ascii="黑体" w:eastAsia="黑体"/>
          <w:color w:val="000000"/>
          <w:sz w:val="32"/>
          <w:szCs w:val="32"/>
          <w:highlight w:val="none"/>
          <w:u w:val="single"/>
        </w:rPr>
      </w:pPr>
      <w:r>
        <w:rPr>
          <w:rFonts w:hint="eastAsia" w:ascii="黑体" w:eastAsia="黑体"/>
          <w:color w:val="000000"/>
          <w:sz w:val="32"/>
          <w:szCs w:val="32"/>
          <w:highlight w:val="none"/>
        </w:rPr>
        <w:t>年  月</w:t>
      </w:r>
    </w:p>
    <w:p w14:paraId="71B1F53D">
      <w:pPr>
        <w:jc w:val="center"/>
        <w:rPr>
          <w:rFonts w:hint="eastAsia" w:ascii="黑体" w:eastAsia="黑体"/>
          <w:color w:val="000000"/>
          <w:sz w:val="32"/>
          <w:szCs w:val="32"/>
          <w:highlight w:val="none"/>
        </w:rPr>
      </w:pPr>
      <w:r>
        <w:rPr>
          <w:rFonts w:hint="eastAsia" w:ascii="黑体" w:eastAsia="黑体"/>
          <w:color w:val="000000"/>
          <w:sz w:val="32"/>
          <w:szCs w:val="32"/>
          <w:highlight w:val="none"/>
        </w:rPr>
        <w:t>中国  西安</w:t>
      </w:r>
    </w:p>
    <w:p w14:paraId="44E4A8AE">
      <w:pPr>
        <w:keepNext w:val="0"/>
        <w:keepLines w:val="0"/>
        <w:pageBreakBefore w:val="0"/>
        <w:widowControl w:val="0"/>
        <w:tabs>
          <w:tab w:val="left" w:pos="480"/>
        </w:tabs>
        <w:kinsoku/>
        <w:wordWrap/>
        <w:overflowPunct/>
        <w:topLinePunct w:val="0"/>
        <w:autoSpaceDE/>
        <w:autoSpaceDN/>
        <w:bidi w:val="0"/>
        <w:adjustRightInd/>
        <w:snapToGrid/>
        <w:spacing w:line="440" w:lineRule="exact"/>
        <w:ind w:firstLine="482" w:firstLineChars="200"/>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采 购 合 同</w:t>
      </w:r>
    </w:p>
    <w:p w14:paraId="279DDB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甲方：西安市人民医院（西安市第四医院）</w:t>
      </w:r>
    </w:p>
    <w:p w14:paraId="0E9BF7A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住所地：</w:t>
      </w:r>
    </w:p>
    <w:p w14:paraId="23EBA25E">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p w14:paraId="259F8A2F">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 </w:t>
      </w:r>
    </w:p>
    <w:p w14:paraId="2E29549A">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住所地：</w:t>
      </w:r>
    </w:p>
    <w:p w14:paraId="1CDE68C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p w14:paraId="2BFF238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鉴证方： </w:t>
      </w:r>
    </w:p>
    <w:p w14:paraId="37A58DE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住所地：</w:t>
      </w:r>
    </w:p>
    <w:p w14:paraId="66881CD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p w14:paraId="341896A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p>
    <w:p w14:paraId="080C1CD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鉴证方就甲方所需货物，按照招标采购程序组织公开招标，确定乙方为成交供应商。依据《中华人民共和国政府采购法》《中华人民共和国招标投标法》《中华人民共和国民法典》以及招标文件、成交供应商投标响应文件正本和澄清表（函）、成交通知书，经甲、乙双方协商，鉴证方确认，达成如下条款。</w:t>
      </w:r>
    </w:p>
    <w:p w14:paraId="514FBB1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一、合同标的物</w:t>
      </w:r>
      <w:r>
        <w:rPr>
          <w:rFonts w:hint="eastAsia" w:ascii="仿宋" w:hAnsi="仿宋" w:eastAsia="仿宋" w:cs="仿宋"/>
          <w:color w:val="auto"/>
          <w:sz w:val="24"/>
          <w:szCs w:val="24"/>
          <w:highlight w:val="none"/>
        </w:rPr>
        <w:t>（以</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正本和澄清表〈函〉为准）</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293"/>
        <w:gridCol w:w="894"/>
        <w:gridCol w:w="733"/>
        <w:gridCol w:w="731"/>
        <w:gridCol w:w="976"/>
        <w:gridCol w:w="1128"/>
        <w:gridCol w:w="953"/>
      </w:tblGrid>
      <w:tr w14:paraId="5C4F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pct"/>
            <w:tcBorders>
              <w:top w:val="single" w:color="auto" w:sz="4" w:space="0"/>
              <w:left w:val="single" w:color="auto" w:sz="4" w:space="0"/>
              <w:bottom w:val="single" w:color="auto" w:sz="4" w:space="0"/>
              <w:right w:val="single" w:color="auto" w:sz="4" w:space="0"/>
            </w:tcBorders>
            <w:noWrap w:val="0"/>
            <w:vAlign w:val="center"/>
          </w:tcPr>
          <w:p w14:paraId="5B3E4B1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31F449B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标的物名称</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325993B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605F5F09">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429" w:type="pct"/>
            <w:tcBorders>
              <w:top w:val="single" w:color="auto" w:sz="4" w:space="0"/>
              <w:left w:val="single" w:color="auto" w:sz="4" w:space="0"/>
              <w:bottom w:val="single" w:color="auto" w:sz="4" w:space="0"/>
              <w:right w:val="single" w:color="auto" w:sz="4" w:space="0"/>
            </w:tcBorders>
            <w:noWrap w:val="0"/>
            <w:vAlign w:val="center"/>
          </w:tcPr>
          <w:p w14:paraId="7D5510B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产地品牌</w:t>
            </w:r>
          </w:p>
        </w:tc>
        <w:tc>
          <w:tcPr>
            <w:tcW w:w="573" w:type="pct"/>
            <w:tcBorders>
              <w:top w:val="single" w:color="auto" w:sz="4" w:space="0"/>
              <w:left w:val="single" w:color="auto" w:sz="4" w:space="0"/>
              <w:bottom w:val="single" w:color="auto" w:sz="4" w:space="0"/>
              <w:right w:val="single" w:color="auto" w:sz="4" w:space="0"/>
            </w:tcBorders>
            <w:noWrap w:val="0"/>
            <w:vAlign w:val="center"/>
          </w:tcPr>
          <w:p w14:paraId="0EC856C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7BE5902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662" w:type="pct"/>
            <w:tcBorders>
              <w:top w:val="single" w:color="auto" w:sz="4" w:space="0"/>
              <w:left w:val="single" w:color="auto" w:sz="4" w:space="0"/>
              <w:bottom w:val="single" w:color="auto" w:sz="4" w:space="0"/>
              <w:right w:val="single" w:color="auto" w:sz="4" w:space="0"/>
            </w:tcBorders>
            <w:noWrap w:val="0"/>
            <w:vAlign w:val="center"/>
          </w:tcPr>
          <w:p w14:paraId="7E47B8C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p w14:paraId="3313EE9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615D256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694C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pct"/>
            <w:tcBorders>
              <w:top w:val="single" w:color="auto" w:sz="4" w:space="0"/>
              <w:left w:val="single" w:color="auto" w:sz="4" w:space="0"/>
              <w:bottom w:val="single" w:color="auto" w:sz="4" w:space="0"/>
              <w:right w:val="single" w:color="auto" w:sz="4" w:space="0"/>
            </w:tcBorders>
            <w:noWrap w:val="0"/>
            <w:vAlign w:val="center"/>
          </w:tcPr>
          <w:p w14:paraId="1F2861CB">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558080EC">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项目名称（注册证名称 ：XXXX）</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2BC257D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430" w:type="pct"/>
            <w:tcBorders>
              <w:top w:val="single" w:color="auto" w:sz="4" w:space="0"/>
              <w:left w:val="single" w:color="auto" w:sz="4" w:space="0"/>
              <w:bottom w:val="single" w:color="auto" w:sz="4" w:space="0"/>
              <w:right w:val="single" w:color="auto" w:sz="4" w:space="0"/>
            </w:tcBorders>
            <w:noWrap w:val="0"/>
            <w:vAlign w:val="center"/>
          </w:tcPr>
          <w:p w14:paraId="53524C0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center"/>
          </w:tcPr>
          <w:p w14:paraId="2C1FFF7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573" w:type="pct"/>
            <w:tcBorders>
              <w:top w:val="single" w:color="auto" w:sz="4" w:space="0"/>
              <w:left w:val="single" w:color="auto" w:sz="4" w:space="0"/>
              <w:bottom w:val="single" w:color="auto" w:sz="4" w:space="0"/>
              <w:right w:val="single" w:color="auto" w:sz="4" w:space="0"/>
            </w:tcBorders>
            <w:noWrap w:val="0"/>
            <w:vAlign w:val="center"/>
          </w:tcPr>
          <w:p w14:paraId="23EFF903">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662" w:type="pct"/>
            <w:tcBorders>
              <w:top w:val="single" w:color="auto" w:sz="4" w:space="0"/>
              <w:left w:val="single" w:color="auto" w:sz="4" w:space="0"/>
              <w:bottom w:val="single" w:color="auto" w:sz="4" w:space="0"/>
              <w:right w:val="single" w:color="auto" w:sz="4" w:space="0"/>
            </w:tcBorders>
            <w:noWrap w:val="0"/>
            <w:vAlign w:val="center"/>
          </w:tcPr>
          <w:p w14:paraId="5AE8B14C">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557" w:type="pct"/>
            <w:tcBorders>
              <w:top w:val="single" w:color="auto" w:sz="4" w:space="0"/>
              <w:left w:val="single" w:color="auto" w:sz="4" w:space="0"/>
              <w:bottom w:val="single" w:color="auto" w:sz="4" w:space="0"/>
              <w:right w:val="single" w:color="auto" w:sz="4" w:space="0"/>
            </w:tcBorders>
            <w:noWrap w:val="0"/>
            <w:vAlign w:val="center"/>
          </w:tcPr>
          <w:p w14:paraId="2EDD3E9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r>
      <w:tr w14:paraId="5F69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pct"/>
            <w:tcBorders>
              <w:top w:val="single" w:color="auto" w:sz="4" w:space="0"/>
              <w:left w:val="single" w:color="auto" w:sz="4" w:space="0"/>
              <w:bottom w:val="single" w:color="auto" w:sz="4" w:space="0"/>
              <w:right w:val="single" w:color="auto" w:sz="4" w:space="0"/>
            </w:tcBorders>
            <w:noWrap w:val="0"/>
            <w:vAlign w:val="center"/>
          </w:tcPr>
          <w:p w14:paraId="5D33706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1346" w:type="pct"/>
            <w:tcBorders>
              <w:top w:val="single" w:color="auto" w:sz="4" w:space="0"/>
              <w:left w:val="single" w:color="auto" w:sz="4" w:space="0"/>
              <w:bottom w:val="single" w:color="auto" w:sz="4" w:space="0"/>
              <w:right w:val="single" w:color="auto" w:sz="4" w:space="0"/>
            </w:tcBorders>
            <w:noWrap w:val="0"/>
            <w:vAlign w:val="center"/>
          </w:tcPr>
          <w:p w14:paraId="3769531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525" w:type="pct"/>
            <w:tcBorders>
              <w:top w:val="single" w:color="auto" w:sz="4" w:space="0"/>
              <w:left w:val="single" w:color="auto" w:sz="4" w:space="0"/>
              <w:bottom w:val="single" w:color="auto" w:sz="4" w:space="0"/>
              <w:right w:val="single" w:color="auto" w:sz="4" w:space="0"/>
            </w:tcBorders>
            <w:noWrap w:val="0"/>
            <w:vAlign w:val="center"/>
          </w:tcPr>
          <w:p w14:paraId="412A442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430" w:type="pct"/>
            <w:tcBorders>
              <w:top w:val="single" w:color="auto" w:sz="4" w:space="0"/>
              <w:left w:val="single" w:color="auto" w:sz="4" w:space="0"/>
              <w:bottom w:val="single" w:color="auto" w:sz="4" w:space="0"/>
              <w:right w:val="single" w:color="auto" w:sz="4" w:space="0"/>
            </w:tcBorders>
            <w:noWrap w:val="0"/>
            <w:vAlign w:val="center"/>
          </w:tcPr>
          <w:p w14:paraId="3BB99F0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center"/>
          </w:tcPr>
          <w:p w14:paraId="4B3494F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573" w:type="pct"/>
            <w:tcBorders>
              <w:top w:val="single" w:color="auto" w:sz="4" w:space="0"/>
              <w:left w:val="single" w:color="auto" w:sz="4" w:space="0"/>
              <w:bottom w:val="single" w:color="auto" w:sz="4" w:space="0"/>
              <w:right w:val="single" w:color="auto" w:sz="4" w:space="0"/>
            </w:tcBorders>
            <w:noWrap w:val="0"/>
            <w:vAlign w:val="center"/>
          </w:tcPr>
          <w:p w14:paraId="15CFF2C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662" w:type="pct"/>
            <w:tcBorders>
              <w:top w:val="single" w:color="auto" w:sz="4" w:space="0"/>
              <w:left w:val="single" w:color="auto" w:sz="4" w:space="0"/>
              <w:bottom w:val="single" w:color="auto" w:sz="4" w:space="0"/>
              <w:right w:val="single" w:color="auto" w:sz="4" w:space="0"/>
            </w:tcBorders>
            <w:noWrap w:val="0"/>
            <w:vAlign w:val="center"/>
          </w:tcPr>
          <w:p w14:paraId="2E970E99">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c>
          <w:tcPr>
            <w:tcW w:w="557" w:type="pct"/>
            <w:tcBorders>
              <w:top w:val="single" w:color="auto" w:sz="4" w:space="0"/>
              <w:left w:val="single" w:color="auto" w:sz="4" w:space="0"/>
              <w:bottom w:val="single" w:color="auto" w:sz="4" w:space="0"/>
              <w:right w:val="single" w:color="auto" w:sz="4" w:space="0"/>
            </w:tcBorders>
            <w:noWrap w:val="0"/>
            <w:vAlign w:val="center"/>
          </w:tcPr>
          <w:p w14:paraId="5EC078E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p>
        </w:tc>
      </w:tr>
      <w:tr w14:paraId="53FC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pct"/>
            <w:tcBorders>
              <w:top w:val="single" w:color="auto" w:sz="4" w:space="0"/>
              <w:left w:val="single" w:color="auto" w:sz="4" w:space="0"/>
              <w:bottom w:val="single" w:color="auto" w:sz="4" w:space="0"/>
              <w:right w:val="single" w:color="auto" w:sz="4" w:space="0"/>
            </w:tcBorders>
            <w:noWrap w:val="0"/>
            <w:vAlign w:val="center"/>
          </w:tcPr>
          <w:p w14:paraId="02947A1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说明 </w:t>
            </w:r>
          </w:p>
        </w:tc>
        <w:tc>
          <w:tcPr>
            <w:tcW w:w="4524" w:type="pct"/>
            <w:gridSpan w:val="7"/>
            <w:tcBorders>
              <w:top w:val="single" w:color="auto" w:sz="4" w:space="0"/>
              <w:left w:val="single" w:color="auto" w:sz="4" w:space="0"/>
              <w:bottom w:val="single" w:color="auto" w:sz="4" w:space="0"/>
              <w:right w:val="single" w:color="auto" w:sz="4" w:space="0"/>
            </w:tcBorders>
            <w:noWrap w:val="0"/>
            <w:vAlign w:val="center"/>
          </w:tcPr>
          <w:p w14:paraId="786D842F">
            <w:pPr>
              <w:keepNext w:val="0"/>
              <w:keepLines w:val="0"/>
              <w:pageBreakBefore w:val="0"/>
              <w:widowControl w:val="0"/>
              <w:tabs>
                <w:tab w:val="left" w:pos="480"/>
              </w:tabs>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auto"/>
                <w:sz w:val="24"/>
                <w:szCs w:val="24"/>
                <w:highlight w:val="none"/>
              </w:rPr>
            </w:pPr>
          </w:p>
        </w:tc>
      </w:tr>
    </w:tbl>
    <w:p w14:paraId="73E278E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二、合同价款</w:t>
      </w:r>
    </w:p>
    <w:p w14:paraId="0DA3641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（一）合同总价款为人民币（大写）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7A4499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（二）合同总价包括：设备采购费（货物费、运输费（含保险费）、装卸费）、拆除费、安装调试费、检测验收、培训、技术服务、税金及其它</w:t>
      </w:r>
      <w:r>
        <w:rPr>
          <w:rFonts w:hint="eastAsia" w:ascii="仿宋" w:hAnsi="仿宋" w:eastAsia="仿宋" w:cs="仿宋"/>
          <w:bCs/>
          <w:color w:val="auto"/>
          <w:sz w:val="24"/>
          <w:szCs w:val="24"/>
          <w:highlight w:val="none"/>
          <w:lang w:bidi="ar"/>
        </w:rPr>
        <w:t>乙方履行合同义务所需的全部</w:t>
      </w:r>
      <w:r>
        <w:rPr>
          <w:rFonts w:hint="eastAsia" w:ascii="仿宋" w:hAnsi="仿宋" w:eastAsia="仿宋" w:cs="仿宋"/>
          <w:color w:val="auto"/>
          <w:sz w:val="24"/>
          <w:szCs w:val="24"/>
          <w:highlight w:val="none"/>
        </w:rPr>
        <w:t>费用。</w:t>
      </w:r>
    </w:p>
    <w:p w14:paraId="73B5F6C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（三）合同总价一次性包死，不受市场价格变化因素的影响。</w:t>
      </w:r>
    </w:p>
    <w:p w14:paraId="1218EF5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三、款项结算</w:t>
      </w:r>
    </w:p>
    <w:p w14:paraId="755FF64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（一）无预付款，所有货物到达甲方指定地点，安装、调试完毕、提供国家或行业标准的合格验收证明以及出具所有设备生产厂家提供的（</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w:t>
      </w:r>
    </w:p>
    <w:p w14:paraId="6232EDE3">
      <w:pPr>
        <w:pStyle w:val="4"/>
        <w:keepNext w:val="0"/>
        <w:keepLines w:val="0"/>
        <w:pageBreakBefore w:val="0"/>
        <w:widowControl w:val="0"/>
        <w:kinsoku/>
        <w:wordWrap/>
        <w:overflowPunct/>
        <w:topLinePunct w:val="0"/>
        <w:autoSpaceDE/>
        <w:autoSpaceDN/>
        <w:bidi w:val="0"/>
        <w:adjustRightInd/>
        <w:snapToGrid/>
        <w:spacing w:after="0" w:line="360" w:lineRule="auto"/>
        <w:ind w:left="0" w:leftChars="0" w:firstLine="56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（二）货物第一次验收合格满</w:t>
      </w: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b w:val="0"/>
          <w:bCs w:val="0"/>
          <w:color w:val="auto"/>
          <w:sz w:val="24"/>
          <w:szCs w:val="24"/>
          <w:highlight w:val="none"/>
        </w:rPr>
        <w:t>个月后，进行二次验收，验收合格后无息支付验收合格产品对应金额总价5%。</w:t>
      </w:r>
    </w:p>
    <w:p w14:paraId="77240C3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（三）支付方式：银行转帐。</w:t>
      </w:r>
    </w:p>
    <w:p w14:paraId="2C28CB5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乙方确认以下信息为收款信息：</w:t>
      </w:r>
    </w:p>
    <w:p w14:paraId="7D0C920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开户名：</w:t>
      </w:r>
    </w:p>
    <w:p w14:paraId="5491744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14B3BC8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w:t>
      </w:r>
    </w:p>
    <w:p w14:paraId="2FF1DF6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rPr>
        <w:t>）结算方式：所有货物验收合格后，乙方持发票（按合同总价由乙方直开甲方）、项目验收单、采购合同，到甲方办理资金结算。</w:t>
      </w:r>
    </w:p>
    <w:p w14:paraId="07E1B48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四、双方的权利和义务</w:t>
      </w:r>
    </w:p>
    <w:p w14:paraId="4993B93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4035686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甲方权利：组织使用单位严格按照</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及</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要求和标准验收货物。</w:t>
      </w:r>
    </w:p>
    <w:p w14:paraId="4923E90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甲方义务：积极配合乙方安装、调试等工作；组织、开展验收工作。</w:t>
      </w:r>
    </w:p>
    <w:p w14:paraId="4057103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1CEFB7D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乙方权利：按照合同约定要求甲方及时付款。</w:t>
      </w:r>
    </w:p>
    <w:p w14:paraId="1B9280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义务：按照合同约定时间，按甲方指定地点提供货物并确保货物质量，配合验收工作，并负责安装、调试、提供现场技术培训，保证使用人员正常操作设备的各种功能，提供双向免费接口服务；乙方确保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包括但不限于甲方因维权产生的诉讼费、公证费、保全费以及律师费等）。</w:t>
      </w:r>
    </w:p>
    <w:p w14:paraId="2429A8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乙方保证货物后期可与甲方各类信息化网络系统双向接口免费对接，即供应商应负责与甲方及甲方信息化网络系统供应商的接口均完成对接，过程中所产生的全部费用由乙方承担。</w:t>
      </w:r>
    </w:p>
    <w:p w14:paraId="2C276E6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五、交货条件：</w:t>
      </w:r>
    </w:p>
    <w:p w14:paraId="373DF07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（一）交货地点：甲方指定地点。</w:t>
      </w:r>
    </w:p>
    <w:p w14:paraId="4AF56AE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（二）交货期：自合同签订之日起，自甲方通知后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天内完成全部项目内容，并交付采购人验收合格。</w:t>
      </w:r>
    </w:p>
    <w:p w14:paraId="71C37A0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六、运输</w:t>
      </w:r>
    </w:p>
    <w:p w14:paraId="4EF6896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（一）运输由乙方负责，运杂费已包含在合同总价内，包括从货物供应地点所含的运输费、装卸费、仓储费、保险费等全部费用。</w:t>
      </w:r>
    </w:p>
    <w:p w14:paraId="4DC6627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（二）运输方式由乙方自行选择，但必须保证按期交货。</w:t>
      </w:r>
    </w:p>
    <w:p w14:paraId="37D422D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36"/>
          <w:sz w:val="24"/>
          <w:szCs w:val="24"/>
          <w:highlight w:val="none"/>
        </w:rPr>
      </w:pPr>
      <w:r>
        <w:rPr>
          <w:rFonts w:hint="eastAsia" w:ascii="仿宋" w:hAnsi="仿宋" w:eastAsia="仿宋" w:cs="仿宋"/>
          <w:color w:val="auto"/>
          <w:sz w:val="24"/>
          <w:szCs w:val="24"/>
          <w:highlight w:val="none"/>
        </w:rPr>
        <w:t>（三）</w:t>
      </w:r>
      <w:r>
        <w:rPr>
          <w:rFonts w:hint="eastAsia" w:ascii="仿宋" w:hAnsi="仿宋" w:eastAsia="仿宋" w:cs="仿宋"/>
          <w:bCs/>
          <w:color w:val="auto"/>
          <w:kern w:val="36"/>
          <w:sz w:val="24"/>
          <w:szCs w:val="24"/>
          <w:highlight w:val="none"/>
          <w:lang w:bidi="ar"/>
        </w:rPr>
        <w:t>货物验收合格前产生的一切毁损、灭失的风险及质量问题均由乙方承担。</w:t>
      </w:r>
    </w:p>
    <w:p w14:paraId="6AA8A85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七、质量保证</w:t>
      </w:r>
    </w:p>
    <w:p w14:paraId="1965A22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乙方所供货物必须执行下列条款：</w:t>
      </w:r>
    </w:p>
    <w:p w14:paraId="1E1E944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（一）保证技术指标先进、质量性能可靠、进货渠道正常，配置合理，全面满足谈判要求。</w:t>
      </w:r>
    </w:p>
    <w:p w14:paraId="16595E4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（二）符合国家有关规范要求，确保达到最佳运行状态。</w:t>
      </w:r>
    </w:p>
    <w:p w14:paraId="01A5B0A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（三）具有良好的外观，适合安装场所的使用。</w:t>
      </w:r>
    </w:p>
    <w:p w14:paraId="7762113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（四）自安装、调试正常运行且甲方验收合格之日起（以入账时间为准)。</w:t>
      </w:r>
    </w:p>
    <w:p w14:paraId="1654C50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1、整机免费保修   年，终身维护，免费保修期内，同一部件出现质量问题经过两次维修后仍无法正常使用，可以更换同型号、同规格的全新产品，服务响应时间不超过 2 小时，对问题较大短期内暂不能解决的，为不影响甲方正常工作，乙方在 2 日内免费提供替代产品，确保正常运行，由此产生的全部费用由乙方承担；</w:t>
      </w:r>
    </w:p>
    <w:p w14:paraId="377F32F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2、30天内，如出现质量问题，可以选择换货或退货；</w:t>
      </w:r>
    </w:p>
    <w:p w14:paraId="25659EE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3、30至60天内，如出现质量问题，可选择换货。</w:t>
      </w:r>
    </w:p>
    <w:p w14:paraId="273B661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设备因产品质量或设计缺陷等问题，而发生的医疗差错或医疗纠纷由乙方及生产厂商负全部责任。由此给甲方造成损失的，乙方应负责全额赔偿（包括但不限于甲方因维权产生的诉讼费、公证费、保全费以及律师费等）。</w:t>
      </w:r>
    </w:p>
    <w:p w14:paraId="0CA0AC4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（六）保证设备后期可与甲方各类信息化网络系统免费无缝链接。</w:t>
      </w:r>
    </w:p>
    <w:p w14:paraId="617B18E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八、售后服务</w:t>
      </w:r>
    </w:p>
    <w:p w14:paraId="7D8FCE0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乙方所供货物提供以下售后服务：</w:t>
      </w:r>
    </w:p>
    <w:p w14:paraId="27A0481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（一）</w:t>
      </w:r>
      <w:r>
        <w:rPr>
          <w:rFonts w:hint="eastAsia" w:ascii="仿宋" w:hAnsi="仿宋" w:eastAsia="仿宋" w:cs="仿宋"/>
          <w:b/>
          <w:bCs/>
          <w:color w:val="auto"/>
          <w:sz w:val="24"/>
          <w:szCs w:val="24"/>
          <w:highlight w:val="none"/>
        </w:rPr>
        <w:t>保修期内：</w:t>
      </w:r>
    </w:p>
    <w:p w14:paraId="67B8087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1、发生质量问题，接到甲方通知后，应于2小时内派出专业的维修人员到现场进行检测维修，发生的全部费用由乙方承担，若需送回生产厂家，乙方承担往返费用；</w:t>
      </w:r>
    </w:p>
    <w:p w14:paraId="5CC077C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2、定期派技术人员到现场走访，给予检查维护，一年不少于2次；</w:t>
      </w:r>
    </w:p>
    <w:p w14:paraId="447E258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3、排除故障的期限不得超过48小时。否则甲方有权指定第三方维修，维修等全部费用由乙方承担。</w:t>
      </w:r>
    </w:p>
    <w:p w14:paraId="5FE1B97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4、对质保期内采购设备配备软件免费更新。</w:t>
      </w:r>
    </w:p>
    <w:p w14:paraId="712C98F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5、若违反以上任何一条，乙方还需向甲方按合同总价款的30%（与</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一致）支付违约金。</w:t>
      </w:r>
    </w:p>
    <w:p w14:paraId="2003983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（二）保修期结束后，乙方免费提供全面保养维护并进行自检、系统测试，确保正常运行。</w:t>
      </w:r>
    </w:p>
    <w:p w14:paraId="57F1EBF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根据《医疗器械使用质量监督管理办法》（18号令）规定，甲方有权委托维修服务机构或者自行对在用医疗器械进行维护维修，乙方应终身免费提供维护手册、维修手册、软件备份、故障代码表、备件清单、零部件、维修密码等维护维修必须的材料和信息。</w:t>
      </w:r>
    </w:p>
    <w:p w14:paraId="06819A8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九、技术与服务</w:t>
      </w:r>
    </w:p>
    <w:p w14:paraId="38741F9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（一）技术资料：</w:t>
      </w:r>
    </w:p>
    <w:p w14:paraId="08BFEA0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1、货物合格证；</w:t>
      </w:r>
    </w:p>
    <w:p w14:paraId="32E5385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2、货物使用说明书（中文）；</w:t>
      </w:r>
    </w:p>
    <w:p w14:paraId="2847543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3、项目竣工资料、检验测试报告；</w:t>
      </w:r>
    </w:p>
    <w:p w14:paraId="3EF7040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4、进口医疗设备报关单与商检证明；</w:t>
      </w:r>
    </w:p>
    <w:p w14:paraId="25D6D86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5、其它资料。</w:t>
      </w:r>
    </w:p>
    <w:p w14:paraId="5F2E858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（二）服务承诺：以</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、澄清表（函）、合同和随货物的相关文件为准。</w:t>
      </w:r>
    </w:p>
    <w:p w14:paraId="4FD59E0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（三）培训：乙方须在设备安装调试完成后免费对甲方操作人员进行使用、保养等技术培训,确保被培训人员掌握相关操作技术、具备操作技能可进行日常保养为止。</w:t>
      </w:r>
    </w:p>
    <w:p w14:paraId="4511140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十、验收</w:t>
      </w:r>
    </w:p>
    <w:p w14:paraId="3B8F93E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验收由甲方组织，乙方配合进行：</w:t>
      </w:r>
    </w:p>
    <w:p w14:paraId="35F00D68">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到达甲方指定地点后，甲方依据合同要求，进行清点验收、性能功能验收、培训及增值服务验收工作；在验收期间发生重大质量问题，甲方有权依据本合同第十一条第（二）款之约定单方解除合同，或要求乙方更换货物，如更换货物由甲方重新组织验收工作，但交付期不顺延，由此导致交付逾期的，乙方仍应承担逾期交付的违约责任。</w:t>
      </w:r>
    </w:p>
    <w:p w14:paraId="7E9E982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（二）验收标准：按国家有关规定以及甲方</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的质量要求和技术指标、乙方的</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及承诺与本合同约定标准进行验收；甲乙双方如对质量要求和技术指标的约定标准有相互抵触或异议的事项，由甲方在</w:t>
      </w:r>
      <w:r>
        <w:rPr>
          <w:rFonts w:hint="eastAsia" w:ascii="仿宋" w:hAnsi="仿宋" w:eastAsia="仿宋" w:cs="仿宋"/>
          <w:color w:val="auto"/>
          <w:sz w:val="24"/>
          <w:szCs w:val="24"/>
          <w:highlight w:val="none"/>
          <w:lang w:eastAsia="zh-CN"/>
        </w:rPr>
        <w:t>竞争性磋商文件与响应文件</w:t>
      </w:r>
      <w:r>
        <w:rPr>
          <w:rFonts w:hint="eastAsia" w:ascii="仿宋" w:hAnsi="仿宋" w:eastAsia="仿宋" w:cs="仿宋"/>
          <w:color w:val="auto"/>
          <w:sz w:val="24"/>
          <w:szCs w:val="24"/>
          <w:highlight w:val="none"/>
        </w:rPr>
        <w:t>中按质量要求和技术指标比较优胜的原则确定该项的约定标准进行验收；</w:t>
      </w:r>
    </w:p>
    <w:p w14:paraId="407CD10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2442EC6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（四）乙方向甲方提交货物实施过程中的所有资料以便甲方日后管理和维护。</w:t>
      </w:r>
    </w:p>
    <w:p w14:paraId="524A6E3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（五）甲方在验收合格后，填写项目验收单（一式贰份）作为对本项目最终认可。</w:t>
      </w:r>
    </w:p>
    <w:p w14:paraId="43441C3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（六）验收依据：</w:t>
      </w:r>
    </w:p>
    <w:p w14:paraId="1F98112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、澄清表（函）；</w:t>
      </w:r>
    </w:p>
    <w:p w14:paraId="0EF8CFC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199D440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49EA4D9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4、完成培训内容并书面留档。</w:t>
      </w:r>
    </w:p>
    <w:p w14:paraId="783F3AB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十一、违约责任</w:t>
      </w:r>
    </w:p>
    <w:p w14:paraId="6963D3E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（一）双方按《政府采购法》《</w:t>
      </w:r>
      <w:r>
        <w:rPr>
          <w:rFonts w:hint="eastAsia" w:ascii="仿宋" w:hAnsi="仿宋" w:eastAsia="仿宋" w:cs="仿宋"/>
          <w:bCs w:val="0"/>
          <w:color w:val="auto"/>
          <w:sz w:val="24"/>
          <w:szCs w:val="24"/>
          <w:highlight w:val="none"/>
        </w:rPr>
        <w:t>中华人民共和国民法典</w:t>
      </w:r>
      <w:r>
        <w:rPr>
          <w:rFonts w:hint="eastAsia" w:ascii="仿宋" w:hAnsi="仿宋" w:eastAsia="仿宋" w:cs="仿宋"/>
          <w:color w:val="auto"/>
          <w:sz w:val="24"/>
          <w:szCs w:val="24"/>
          <w:highlight w:val="none"/>
        </w:rPr>
        <w:t>》中的相关条款执行。</w:t>
      </w:r>
    </w:p>
    <w:p w14:paraId="3E52252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（二）乙方未按合同要求提供货物或质量不能满足</w:t>
      </w:r>
      <w:r>
        <w:rPr>
          <w:rFonts w:hint="eastAsia" w:ascii="仿宋" w:hAnsi="仿宋" w:eastAsia="仿宋" w:cs="仿宋"/>
          <w:color w:val="auto"/>
          <w:sz w:val="24"/>
          <w:szCs w:val="24"/>
          <w:highlight w:val="none"/>
          <w:lang w:bidi="ar"/>
        </w:rPr>
        <w:t>本合同、</w:t>
      </w:r>
      <w:r>
        <w:rPr>
          <w:rFonts w:hint="eastAsia" w:ascii="仿宋" w:hAnsi="仿宋" w:eastAsia="仿宋" w:cs="仿宋"/>
          <w:color w:val="auto"/>
          <w:sz w:val="24"/>
          <w:szCs w:val="24"/>
          <w:highlight w:val="none"/>
          <w:lang w:eastAsia="zh-CN" w:bidi="ar"/>
        </w:rPr>
        <w:t>竞争性磋商文件</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响应文件</w:t>
      </w:r>
      <w:r>
        <w:rPr>
          <w:rFonts w:hint="eastAsia" w:ascii="仿宋" w:hAnsi="仿宋" w:eastAsia="仿宋" w:cs="仿宋"/>
          <w:color w:val="auto"/>
          <w:sz w:val="24"/>
          <w:szCs w:val="24"/>
          <w:highlight w:val="none"/>
          <w:lang w:bidi="ar"/>
        </w:rPr>
        <w:t>等相关文件</w:t>
      </w:r>
      <w:r>
        <w:rPr>
          <w:rFonts w:hint="eastAsia" w:ascii="仿宋" w:hAnsi="仿宋" w:eastAsia="仿宋" w:cs="仿宋"/>
          <w:color w:val="auto"/>
          <w:sz w:val="24"/>
          <w:szCs w:val="24"/>
          <w:highlight w:val="none"/>
        </w:rPr>
        <w:t>要求的，乙方须在合同约定的交货期内无条件更换合格的货物交付给甲方，若甲方有实际损失的乙方还应赔偿甲方的实际损失。否则，甲方有权解除合同，合同自甲方书面解除通知到达乙方之日起解除</w:t>
      </w:r>
      <w:r>
        <w:rPr>
          <w:rFonts w:hint="eastAsia" w:ascii="仿宋" w:hAnsi="仿宋" w:eastAsia="仿宋" w:cs="仿宋"/>
          <w:bCs w:val="0"/>
          <w:color w:val="auto"/>
          <w:sz w:val="24"/>
          <w:szCs w:val="24"/>
          <w:highlight w:val="none"/>
        </w:rPr>
        <w:t>，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w:t>
      </w:r>
      <w:r>
        <w:rPr>
          <w:rFonts w:hint="eastAsia" w:ascii="仿宋" w:hAnsi="仿宋" w:eastAsia="仿宋" w:cs="仿宋"/>
          <w:color w:val="auto"/>
          <w:sz w:val="24"/>
          <w:szCs w:val="24"/>
          <w:highlight w:val="none"/>
        </w:rPr>
        <w:t>。同时甲方有权对乙方的违约行为报监管机构进行相应的处罚。</w:t>
      </w:r>
    </w:p>
    <w:p w14:paraId="0CF677C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乙方逾期交付货物的，除应及时交足货物外，同时向甲方支付逾期交货部分货款总额的百分之一/天的违约金；逾期交货超过10天，甲方有权解除合同，合同自甲方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14:paraId="65CE732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十二、合同争议解决的方式</w:t>
      </w:r>
    </w:p>
    <w:p w14:paraId="08EDBD2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本合同在履行过程中发生的争议，由甲、乙双方当事人协商解决，协商不成的依法向甲方所在地人民法院起诉。</w:t>
      </w:r>
    </w:p>
    <w:p w14:paraId="2A18220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十三、合同生效</w:t>
      </w:r>
    </w:p>
    <w:p w14:paraId="3521317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本合同一式捌份，甲方执陆份，乙方、鉴证方各执壹份，均具有同等法律效力。本合同经甲、乙、鉴证方各方签字盖章后生效，合同执行完毕后，自动终止（合同的服务承诺则长期有效）。</w:t>
      </w:r>
    </w:p>
    <w:p w14:paraId="325B6B4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十四、其他事项</w:t>
      </w:r>
    </w:p>
    <w:p w14:paraId="62C67DF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（一）鉴证方作为政府集中采购代理机构对合同进行确认。</w:t>
      </w:r>
    </w:p>
    <w:p w14:paraId="4380155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（二）西安市财政局政府采购管理处在合同的履行期间以及履行期后，可以随时检查项目的执行情况，对采购内容、标准进行调查核实，并对发现的问题进行处理。</w:t>
      </w:r>
    </w:p>
    <w:p w14:paraId="24FDB68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、澄清表（函）、中标通知书、合同附件均成为合同不可分割的部分，与本合同具有同等法律效力。</w:t>
      </w:r>
    </w:p>
    <w:p w14:paraId="39C7AD5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（四）合同未尽事宜，由甲、乙双方协商，经鉴证方确认后签订补充协议，作为合同补充，补充协议与原合同具有同等法律效力。补充协议与原合同约定不一致的，以补充协议为准。</w:t>
      </w:r>
    </w:p>
    <w:p w14:paraId="6F78E40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（五）合同一经签订，不得擅自变更、解除或终止合同。对确需变更、解除、终止合同的，应按规定履行相应的手续。</w:t>
      </w:r>
    </w:p>
    <w:p w14:paraId="77EE6F0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（六）本合同按照中华人民共和国的现行法律进行解释。</w:t>
      </w:r>
    </w:p>
    <w:p w14:paraId="744B022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（七）本合同附件作为本合同的组成部份，与本合同具有同等法律效力。</w:t>
      </w:r>
    </w:p>
    <w:p w14:paraId="677899DF">
      <w:pPr>
        <w:pStyle w:val="8"/>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附件：</w:t>
      </w:r>
    </w:p>
    <w:p w14:paraId="34339B4F">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西安市人民医院（西安市第四医院）</w:t>
      </w:r>
      <w:r>
        <w:rPr>
          <w:rFonts w:hint="eastAsia" w:ascii="仿宋" w:hAnsi="仿宋" w:eastAsia="仿宋" w:cs="仿宋"/>
          <w:color w:val="auto"/>
          <w:sz w:val="24"/>
          <w:szCs w:val="24"/>
          <w:highlight w:val="none"/>
          <w:u w:val="single"/>
        </w:rPr>
        <w:t xml:space="preserve">              项</w:t>
      </w:r>
      <w:r>
        <w:rPr>
          <w:rFonts w:hint="eastAsia" w:ascii="仿宋" w:hAnsi="仿宋" w:eastAsia="仿宋" w:cs="仿宋"/>
          <w:color w:val="auto"/>
          <w:sz w:val="24"/>
          <w:szCs w:val="24"/>
          <w:highlight w:val="none"/>
        </w:rPr>
        <w:t>目配置清单</w:t>
      </w:r>
    </w:p>
    <w:p w14:paraId="0CBEF1F8">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品目耗材报价表</w:t>
      </w:r>
    </w:p>
    <w:p w14:paraId="70C54D3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2038B85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5E173E3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AEB974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甲方：西安市人民医院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w:t>
      </w:r>
    </w:p>
    <w:p w14:paraId="37BE3EB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960" w:firstLineChars="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（西安市第四医院）            </w:t>
      </w:r>
    </w:p>
    <w:p w14:paraId="35ACFCB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地址：</w:t>
      </w:r>
    </w:p>
    <w:p w14:paraId="3A6274D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14:paraId="00CFC34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                       联系电话：</w:t>
      </w:r>
    </w:p>
    <w:p w14:paraId="3FC4D24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        签订日期：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4320189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49BA787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68716D2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鉴证方：</w:t>
      </w:r>
    </w:p>
    <w:p w14:paraId="4E461C9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1CD0B4A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59B20C6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w:t>
      </w:r>
    </w:p>
    <w:p w14:paraId="437B588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01F0EF7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75C3465A">
      <w:pP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br w:type="page"/>
      </w:r>
    </w:p>
    <w:p w14:paraId="1E5EFDFD">
      <w:pPr>
        <w:tabs>
          <w:tab w:val="left" w:pos="675"/>
        </w:tabs>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附件1：</w:t>
      </w:r>
    </w:p>
    <w:p w14:paraId="014B1351">
      <w:pPr>
        <w:tabs>
          <w:tab w:val="left" w:pos="675"/>
        </w:tabs>
        <w:jc w:val="center"/>
        <w:rPr>
          <w:rFonts w:hint="eastAsia" w:ascii="仿宋" w:hAnsi="仿宋" w:eastAsia="仿宋" w:cs="仿宋"/>
          <w:b/>
          <w:color w:val="000000"/>
          <w:sz w:val="24"/>
          <w:szCs w:val="24"/>
          <w:highlight w:val="none"/>
        </w:rPr>
      </w:pPr>
    </w:p>
    <w:p w14:paraId="29A3DD52">
      <w:pPr>
        <w:tabs>
          <w:tab w:val="left" w:pos="675"/>
        </w:tabs>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西安市人民医院（西安市第四医院）</w:t>
      </w:r>
      <w:r>
        <w:rPr>
          <w:rFonts w:hint="eastAsia" w:ascii="仿宋" w:hAnsi="仿宋" w:eastAsia="仿宋" w:cs="仿宋"/>
          <w:b/>
          <w:color w:val="000000"/>
          <w:sz w:val="24"/>
          <w:szCs w:val="24"/>
          <w:highlight w:val="none"/>
          <w:u w:val="single"/>
        </w:rPr>
        <w:t xml:space="preserve">            </w:t>
      </w:r>
      <w:r>
        <w:rPr>
          <w:rFonts w:hint="eastAsia" w:ascii="仿宋" w:hAnsi="仿宋" w:eastAsia="仿宋" w:cs="仿宋"/>
          <w:b/>
          <w:color w:val="000000"/>
          <w:sz w:val="24"/>
          <w:szCs w:val="24"/>
          <w:highlight w:val="none"/>
        </w:rPr>
        <w:t>配置清单</w:t>
      </w:r>
    </w:p>
    <w:p w14:paraId="0F4A2624">
      <w:pPr>
        <w:tabs>
          <w:tab w:val="left" w:pos="675"/>
        </w:tabs>
        <w:jc w:val="center"/>
        <w:rPr>
          <w:rFonts w:hint="eastAsia" w:ascii="仿宋" w:hAnsi="仿宋" w:eastAsia="仿宋" w:cs="仿宋"/>
          <w:b/>
          <w:color w:val="000000"/>
          <w:sz w:val="24"/>
          <w:szCs w:val="24"/>
          <w:highlight w:val="none"/>
        </w:rPr>
      </w:pP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2266"/>
        <w:gridCol w:w="1644"/>
        <w:gridCol w:w="732"/>
        <w:gridCol w:w="1113"/>
        <w:gridCol w:w="1337"/>
        <w:gridCol w:w="832"/>
      </w:tblGrid>
      <w:tr w14:paraId="0CB5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349" w:type="pct"/>
            <w:tcBorders>
              <w:top w:val="single" w:color="auto" w:sz="4" w:space="0"/>
              <w:left w:val="single" w:color="auto" w:sz="4" w:space="0"/>
              <w:bottom w:val="single" w:color="auto" w:sz="4" w:space="0"/>
              <w:right w:val="single" w:color="auto" w:sz="4" w:space="0"/>
            </w:tcBorders>
            <w:noWrap w:val="0"/>
            <w:vAlign w:val="center"/>
          </w:tcPr>
          <w:p w14:paraId="1790EF62">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329" w:type="pct"/>
            <w:tcBorders>
              <w:top w:val="single" w:color="auto" w:sz="4" w:space="0"/>
              <w:left w:val="single" w:color="auto" w:sz="4" w:space="0"/>
              <w:bottom w:val="single" w:color="auto" w:sz="4" w:space="0"/>
              <w:right w:val="single" w:color="auto" w:sz="4" w:space="0"/>
            </w:tcBorders>
            <w:noWrap w:val="0"/>
            <w:vAlign w:val="center"/>
          </w:tcPr>
          <w:p w14:paraId="55EFFF3C">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货物名称</w:t>
            </w:r>
          </w:p>
        </w:tc>
        <w:tc>
          <w:tcPr>
            <w:tcW w:w="964" w:type="pct"/>
            <w:tcBorders>
              <w:top w:val="single" w:color="auto" w:sz="4" w:space="0"/>
              <w:left w:val="single" w:color="auto" w:sz="4" w:space="0"/>
              <w:bottom w:val="single" w:color="auto" w:sz="4" w:space="0"/>
              <w:right w:val="single" w:color="auto" w:sz="4" w:space="0"/>
            </w:tcBorders>
            <w:noWrap w:val="0"/>
            <w:vAlign w:val="center"/>
          </w:tcPr>
          <w:p w14:paraId="67EF329F">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规格、型号</w:t>
            </w:r>
          </w:p>
        </w:tc>
        <w:tc>
          <w:tcPr>
            <w:tcW w:w="429" w:type="pct"/>
            <w:tcBorders>
              <w:top w:val="single" w:color="auto" w:sz="4" w:space="0"/>
              <w:left w:val="single" w:color="auto" w:sz="4" w:space="0"/>
              <w:bottom w:val="single" w:color="auto" w:sz="4" w:space="0"/>
              <w:right w:val="single" w:color="auto" w:sz="4" w:space="0"/>
            </w:tcBorders>
            <w:noWrap w:val="0"/>
            <w:vAlign w:val="center"/>
          </w:tcPr>
          <w:p w14:paraId="55CB35AA">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数量</w:t>
            </w:r>
          </w:p>
        </w:tc>
        <w:tc>
          <w:tcPr>
            <w:tcW w:w="653" w:type="pct"/>
            <w:tcBorders>
              <w:top w:val="single" w:color="auto" w:sz="4" w:space="0"/>
              <w:left w:val="single" w:color="auto" w:sz="4" w:space="0"/>
              <w:bottom w:val="single" w:color="auto" w:sz="4" w:space="0"/>
              <w:right w:val="single" w:color="auto" w:sz="4" w:space="0"/>
            </w:tcBorders>
            <w:noWrap w:val="0"/>
            <w:vAlign w:val="center"/>
          </w:tcPr>
          <w:p w14:paraId="663C1353">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产地</w:t>
            </w:r>
          </w:p>
        </w:tc>
        <w:tc>
          <w:tcPr>
            <w:tcW w:w="784" w:type="pct"/>
            <w:tcBorders>
              <w:top w:val="single" w:color="auto" w:sz="4" w:space="0"/>
              <w:left w:val="single" w:color="auto" w:sz="4" w:space="0"/>
              <w:bottom w:val="single" w:color="auto" w:sz="4" w:space="0"/>
              <w:right w:val="single" w:color="auto" w:sz="4" w:space="0"/>
            </w:tcBorders>
            <w:noWrap w:val="0"/>
            <w:vAlign w:val="center"/>
          </w:tcPr>
          <w:p w14:paraId="347E5FE1">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生产厂家</w:t>
            </w:r>
          </w:p>
        </w:tc>
        <w:tc>
          <w:tcPr>
            <w:tcW w:w="488" w:type="pct"/>
            <w:tcBorders>
              <w:top w:val="single" w:color="auto" w:sz="4" w:space="0"/>
              <w:left w:val="single" w:color="auto" w:sz="4" w:space="0"/>
              <w:bottom w:val="single" w:color="auto" w:sz="4" w:space="0"/>
              <w:right w:val="single" w:color="auto" w:sz="4" w:space="0"/>
            </w:tcBorders>
            <w:noWrap w:val="0"/>
            <w:vAlign w:val="center"/>
          </w:tcPr>
          <w:p w14:paraId="0387DB30">
            <w:pPr>
              <w:tabs>
                <w:tab w:val="left" w:pos="480"/>
              </w:tabs>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w:t>
            </w:r>
          </w:p>
        </w:tc>
      </w:tr>
      <w:tr w14:paraId="1D09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1E5E0161">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7DB28258">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63DC5E82">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5A3B6064">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6E8D9A80">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451DE5A1">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45D43F5F">
            <w:pPr>
              <w:tabs>
                <w:tab w:val="left" w:pos="480"/>
              </w:tabs>
              <w:jc w:val="center"/>
              <w:rPr>
                <w:rFonts w:hint="eastAsia" w:ascii="仿宋" w:hAnsi="仿宋" w:eastAsia="仿宋" w:cs="仿宋"/>
                <w:color w:val="000000"/>
                <w:sz w:val="24"/>
                <w:szCs w:val="24"/>
                <w:highlight w:val="none"/>
              </w:rPr>
            </w:pPr>
          </w:p>
        </w:tc>
      </w:tr>
      <w:tr w14:paraId="6C26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4087FCC3">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0314DF38">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7B12029B">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58A9451D">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0C1E1F84">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50A727BE">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070B0C8D">
            <w:pPr>
              <w:tabs>
                <w:tab w:val="left" w:pos="480"/>
              </w:tabs>
              <w:jc w:val="center"/>
              <w:rPr>
                <w:rFonts w:hint="eastAsia" w:ascii="仿宋" w:hAnsi="仿宋" w:eastAsia="仿宋" w:cs="仿宋"/>
                <w:color w:val="000000"/>
                <w:sz w:val="24"/>
                <w:szCs w:val="24"/>
                <w:highlight w:val="none"/>
              </w:rPr>
            </w:pPr>
          </w:p>
        </w:tc>
      </w:tr>
      <w:tr w14:paraId="495A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3EEB793A">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2E286E04">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2626E43C">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00B4CB34">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0930866C">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40817FE5">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42C2C100">
            <w:pPr>
              <w:tabs>
                <w:tab w:val="left" w:pos="480"/>
              </w:tabs>
              <w:jc w:val="center"/>
              <w:rPr>
                <w:rFonts w:hint="eastAsia" w:ascii="仿宋" w:hAnsi="仿宋" w:eastAsia="仿宋" w:cs="仿宋"/>
                <w:color w:val="000000"/>
                <w:sz w:val="24"/>
                <w:szCs w:val="24"/>
                <w:highlight w:val="none"/>
              </w:rPr>
            </w:pPr>
          </w:p>
        </w:tc>
      </w:tr>
      <w:tr w14:paraId="5C71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38FE1EA1">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7CCED31F">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59EBCE67">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144E9D15">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57D96E92">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2EE7C561">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05E00281">
            <w:pPr>
              <w:tabs>
                <w:tab w:val="left" w:pos="480"/>
              </w:tabs>
              <w:jc w:val="center"/>
              <w:rPr>
                <w:rFonts w:hint="eastAsia" w:ascii="仿宋" w:hAnsi="仿宋" w:eastAsia="仿宋" w:cs="仿宋"/>
                <w:color w:val="000000"/>
                <w:sz w:val="24"/>
                <w:szCs w:val="24"/>
                <w:highlight w:val="none"/>
              </w:rPr>
            </w:pPr>
          </w:p>
        </w:tc>
      </w:tr>
      <w:tr w14:paraId="54222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0E56E6EB">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0FDE1244">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4B004BD8">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74EDC6F0">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68966480">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7D3F6FDF">
            <w:pPr>
              <w:tabs>
                <w:tab w:val="left" w:pos="480"/>
              </w:tabs>
              <w:jc w:val="center"/>
              <w:rPr>
                <w:rFonts w:hint="eastAsia" w:ascii="仿宋" w:hAnsi="仿宋" w:eastAsia="仿宋" w:cs="仿宋"/>
                <w:color w:val="000000"/>
                <w:sz w:val="24"/>
                <w:szCs w:val="24"/>
                <w:highlight w:val="none"/>
              </w:rPr>
            </w:pPr>
            <w:bookmarkStart w:id="1" w:name="_GoBack"/>
            <w:bookmarkEnd w:id="1"/>
          </w:p>
        </w:tc>
        <w:tc>
          <w:tcPr>
            <w:tcW w:w="488" w:type="pct"/>
            <w:tcBorders>
              <w:top w:val="single" w:color="auto" w:sz="4" w:space="0"/>
              <w:left w:val="single" w:color="auto" w:sz="4" w:space="0"/>
              <w:bottom w:val="single" w:color="auto" w:sz="4" w:space="0"/>
              <w:right w:val="single" w:color="auto" w:sz="4" w:space="0"/>
            </w:tcBorders>
            <w:noWrap w:val="0"/>
            <w:vAlign w:val="top"/>
          </w:tcPr>
          <w:p w14:paraId="5532E3EE">
            <w:pPr>
              <w:tabs>
                <w:tab w:val="left" w:pos="480"/>
              </w:tabs>
              <w:jc w:val="center"/>
              <w:rPr>
                <w:rFonts w:hint="eastAsia" w:ascii="仿宋" w:hAnsi="仿宋" w:eastAsia="仿宋" w:cs="仿宋"/>
                <w:color w:val="000000"/>
                <w:sz w:val="24"/>
                <w:szCs w:val="24"/>
                <w:highlight w:val="none"/>
              </w:rPr>
            </w:pPr>
          </w:p>
        </w:tc>
      </w:tr>
      <w:tr w14:paraId="1110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40DD7914">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0B45A497">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1D845736">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4FF29DD1">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7674C7B5">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27F2B9B7">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14AB732F">
            <w:pPr>
              <w:tabs>
                <w:tab w:val="left" w:pos="480"/>
              </w:tabs>
              <w:jc w:val="center"/>
              <w:rPr>
                <w:rFonts w:hint="eastAsia" w:ascii="仿宋" w:hAnsi="仿宋" w:eastAsia="仿宋" w:cs="仿宋"/>
                <w:color w:val="000000"/>
                <w:sz w:val="24"/>
                <w:szCs w:val="24"/>
                <w:highlight w:val="none"/>
              </w:rPr>
            </w:pPr>
          </w:p>
        </w:tc>
      </w:tr>
      <w:tr w14:paraId="2C83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1F65A1D6">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1A84E064">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1B41CA65">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2039D0AF">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17501BBA">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61955A1B">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23EDBFF8">
            <w:pPr>
              <w:tabs>
                <w:tab w:val="left" w:pos="480"/>
              </w:tabs>
              <w:jc w:val="center"/>
              <w:rPr>
                <w:rFonts w:hint="eastAsia" w:ascii="仿宋" w:hAnsi="仿宋" w:eastAsia="仿宋" w:cs="仿宋"/>
                <w:color w:val="000000"/>
                <w:sz w:val="24"/>
                <w:szCs w:val="24"/>
                <w:highlight w:val="none"/>
              </w:rPr>
            </w:pPr>
          </w:p>
        </w:tc>
      </w:tr>
      <w:tr w14:paraId="1F78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45E6DCA8">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616FB12E">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2C6BCA12">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18D7CB3E">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705B29A2">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5CF9A3B7">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1D7560A1">
            <w:pPr>
              <w:tabs>
                <w:tab w:val="left" w:pos="480"/>
              </w:tabs>
              <w:jc w:val="center"/>
              <w:rPr>
                <w:rFonts w:hint="eastAsia" w:ascii="仿宋" w:hAnsi="仿宋" w:eastAsia="仿宋" w:cs="仿宋"/>
                <w:color w:val="000000"/>
                <w:sz w:val="24"/>
                <w:szCs w:val="24"/>
                <w:highlight w:val="none"/>
              </w:rPr>
            </w:pPr>
          </w:p>
        </w:tc>
      </w:tr>
      <w:tr w14:paraId="2A5D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3BAA9088">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6AA13691">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707B1F1C">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1C9FCBBD">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51AD8C6D">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25C05937">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01B122C4">
            <w:pPr>
              <w:tabs>
                <w:tab w:val="left" w:pos="480"/>
              </w:tabs>
              <w:jc w:val="center"/>
              <w:rPr>
                <w:rFonts w:hint="eastAsia" w:ascii="仿宋" w:hAnsi="仿宋" w:eastAsia="仿宋" w:cs="仿宋"/>
                <w:color w:val="000000"/>
                <w:sz w:val="24"/>
                <w:szCs w:val="24"/>
                <w:highlight w:val="none"/>
              </w:rPr>
            </w:pPr>
          </w:p>
        </w:tc>
      </w:tr>
      <w:tr w14:paraId="0A80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30E13C66">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774B4041">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7F3EE51B">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5F86E81B">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1A9FF830">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401048DE">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3EFDF06C">
            <w:pPr>
              <w:tabs>
                <w:tab w:val="left" w:pos="480"/>
              </w:tabs>
              <w:jc w:val="center"/>
              <w:rPr>
                <w:rFonts w:hint="eastAsia" w:ascii="仿宋" w:hAnsi="仿宋" w:eastAsia="仿宋" w:cs="仿宋"/>
                <w:color w:val="000000"/>
                <w:sz w:val="24"/>
                <w:szCs w:val="24"/>
                <w:highlight w:val="none"/>
              </w:rPr>
            </w:pPr>
          </w:p>
        </w:tc>
      </w:tr>
      <w:tr w14:paraId="75BD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111CB471">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6F78AA68">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41D0F0BC">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3FDF00A5">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00F0CF12">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0D4F7795">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23ED394C">
            <w:pPr>
              <w:tabs>
                <w:tab w:val="left" w:pos="480"/>
              </w:tabs>
              <w:jc w:val="center"/>
              <w:rPr>
                <w:rFonts w:hint="eastAsia" w:ascii="仿宋" w:hAnsi="仿宋" w:eastAsia="仿宋" w:cs="仿宋"/>
                <w:color w:val="000000"/>
                <w:sz w:val="24"/>
                <w:szCs w:val="24"/>
                <w:highlight w:val="none"/>
              </w:rPr>
            </w:pPr>
          </w:p>
        </w:tc>
      </w:tr>
      <w:tr w14:paraId="7E56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457F089C">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477DE805">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0DFAB180">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15915FF8">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7C61178A">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7F56427D">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6514A37E">
            <w:pPr>
              <w:tabs>
                <w:tab w:val="left" w:pos="480"/>
              </w:tabs>
              <w:jc w:val="center"/>
              <w:rPr>
                <w:rFonts w:hint="eastAsia" w:ascii="仿宋" w:hAnsi="仿宋" w:eastAsia="仿宋" w:cs="仿宋"/>
                <w:color w:val="000000"/>
                <w:sz w:val="24"/>
                <w:szCs w:val="24"/>
                <w:highlight w:val="none"/>
              </w:rPr>
            </w:pPr>
          </w:p>
        </w:tc>
      </w:tr>
      <w:tr w14:paraId="796C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662DD75E">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77962176">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12BE176C">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397F0AC6">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73E85CEA">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72A69992">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3F5FF175">
            <w:pPr>
              <w:tabs>
                <w:tab w:val="left" w:pos="480"/>
              </w:tabs>
              <w:jc w:val="center"/>
              <w:rPr>
                <w:rFonts w:hint="eastAsia" w:ascii="仿宋" w:hAnsi="仿宋" w:eastAsia="仿宋" w:cs="仿宋"/>
                <w:color w:val="000000"/>
                <w:sz w:val="24"/>
                <w:szCs w:val="24"/>
                <w:highlight w:val="none"/>
              </w:rPr>
            </w:pPr>
          </w:p>
        </w:tc>
      </w:tr>
      <w:tr w14:paraId="6AA7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7FD95861">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7D5BC1BC">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47B9F2B3">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0C9F2469">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30632DB6">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0E8AB778">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550A0485">
            <w:pPr>
              <w:tabs>
                <w:tab w:val="left" w:pos="480"/>
              </w:tabs>
              <w:jc w:val="center"/>
              <w:rPr>
                <w:rFonts w:hint="eastAsia" w:ascii="仿宋" w:hAnsi="仿宋" w:eastAsia="仿宋" w:cs="仿宋"/>
                <w:color w:val="000000"/>
                <w:sz w:val="24"/>
                <w:szCs w:val="24"/>
                <w:highlight w:val="none"/>
              </w:rPr>
            </w:pPr>
          </w:p>
        </w:tc>
      </w:tr>
      <w:tr w14:paraId="105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64EE12F8">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4AD0CF16">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48356099">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3C26193C">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01B76C98">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72539865">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33AE0100">
            <w:pPr>
              <w:tabs>
                <w:tab w:val="left" w:pos="480"/>
              </w:tabs>
              <w:jc w:val="center"/>
              <w:rPr>
                <w:rFonts w:hint="eastAsia" w:ascii="仿宋" w:hAnsi="仿宋" w:eastAsia="仿宋" w:cs="仿宋"/>
                <w:color w:val="000000"/>
                <w:sz w:val="24"/>
                <w:szCs w:val="24"/>
                <w:highlight w:val="none"/>
              </w:rPr>
            </w:pPr>
          </w:p>
        </w:tc>
      </w:tr>
      <w:tr w14:paraId="4269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69D191B1">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2ACF0659">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309893D8">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46CD75B1">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292807C6">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4E0DE9D6">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2F2AFAFB">
            <w:pPr>
              <w:tabs>
                <w:tab w:val="left" w:pos="480"/>
              </w:tabs>
              <w:jc w:val="center"/>
              <w:rPr>
                <w:rFonts w:hint="eastAsia" w:ascii="仿宋" w:hAnsi="仿宋" w:eastAsia="仿宋" w:cs="仿宋"/>
                <w:color w:val="000000"/>
                <w:sz w:val="24"/>
                <w:szCs w:val="24"/>
                <w:highlight w:val="none"/>
              </w:rPr>
            </w:pPr>
          </w:p>
        </w:tc>
      </w:tr>
      <w:tr w14:paraId="24EA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4875112F">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4F6BC05A">
            <w:pPr>
              <w:spacing w:line="440" w:lineRule="exact"/>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1D238544">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1EB67AF5">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06E4A80E">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76F7E5FA">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4C6F5DC6">
            <w:pPr>
              <w:tabs>
                <w:tab w:val="left" w:pos="480"/>
              </w:tabs>
              <w:jc w:val="center"/>
              <w:rPr>
                <w:rFonts w:hint="eastAsia" w:ascii="仿宋" w:hAnsi="仿宋" w:eastAsia="仿宋" w:cs="仿宋"/>
                <w:color w:val="000000"/>
                <w:sz w:val="24"/>
                <w:szCs w:val="24"/>
                <w:highlight w:val="none"/>
              </w:rPr>
            </w:pPr>
          </w:p>
        </w:tc>
      </w:tr>
      <w:tr w14:paraId="6E85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tcBorders>
              <w:top w:val="single" w:color="auto" w:sz="4" w:space="0"/>
              <w:left w:val="single" w:color="auto" w:sz="4" w:space="0"/>
              <w:bottom w:val="single" w:color="auto" w:sz="4" w:space="0"/>
              <w:right w:val="single" w:color="auto" w:sz="4" w:space="0"/>
            </w:tcBorders>
            <w:noWrap w:val="0"/>
            <w:vAlign w:val="bottom"/>
          </w:tcPr>
          <w:p w14:paraId="6C68F615">
            <w:pPr>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w:t>
            </w:r>
          </w:p>
        </w:tc>
        <w:tc>
          <w:tcPr>
            <w:tcW w:w="1329" w:type="pct"/>
            <w:tcBorders>
              <w:top w:val="single" w:color="auto" w:sz="4" w:space="0"/>
              <w:left w:val="single" w:color="auto" w:sz="4" w:space="0"/>
              <w:bottom w:val="single" w:color="auto" w:sz="4" w:space="0"/>
              <w:right w:val="single" w:color="auto" w:sz="4" w:space="0"/>
            </w:tcBorders>
            <w:noWrap w:val="0"/>
            <w:vAlign w:val="bottom"/>
          </w:tcPr>
          <w:p w14:paraId="6CA32E70">
            <w:pPr>
              <w:jc w:val="center"/>
              <w:rPr>
                <w:rFonts w:hint="eastAsia" w:ascii="仿宋" w:hAnsi="仿宋" w:eastAsia="仿宋" w:cs="仿宋"/>
                <w:color w:val="000000"/>
                <w:sz w:val="24"/>
                <w:szCs w:val="24"/>
                <w:highlight w:val="none"/>
              </w:rPr>
            </w:pPr>
          </w:p>
        </w:tc>
        <w:tc>
          <w:tcPr>
            <w:tcW w:w="964" w:type="pct"/>
            <w:tcBorders>
              <w:top w:val="single" w:color="auto" w:sz="4" w:space="0"/>
              <w:left w:val="single" w:color="auto" w:sz="4" w:space="0"/>
              <w:bottom w:val="single" w:color="auto" w:sz="4" w:space="0"/>
              <w:right w:val="single" w:color="auto" w:sz="4" w:space="0"/>
            </w:tcBorders>
            <w:noWrap w:val="0"/>
            <w:vAlign w:val="bottom"/>
          </w:tcPr>
          <w:p w14:paraId="28BBCA50">
            <w:pPr>
              <w:jc w:val="center"/>
              <w:rPr>
                <w:rFonts w:hint="eastAsia" w:ascii="仿宋" w:hAnsi="仿宋" w:eastAsia="仿宋" w:cs="仿宋"/>
                <w:color w:val="000000"/>
                <w:sz w:val="24"/>
                <w:szCs w:val="24"/>
                <w:highlight w:val="none"/>
              </w:rPr>
            </w:pPr>
          </w:p>
        </w:tc>
        <w:tc>
          <w:tcPr>
            <w:tcW w:w="429" w:type="pct"/>
            <w:tcBorders>
              <w:top w:val="single" w:color="auto" w:sz="4" w:space="0"/>
              <w:left w:val="single" w:color="auto" w:sz="4" w:space="0"/>
              <w:bottom w:val="single" w:color="auto" w:sz="4" w:space="0"/>
              <w:right w:val="single" w:color="auto" w:sz="4" w:space="0"/>
            </w:tcBorders>
            <w:noWrap w:val="0"/>
            <w:vAlign w:val="bottom"/>
          </w:tcPr>
          <w:p w14:paraId="6988BE8E">
            <w:pPr>
              <w:spacing w:line="440" w:lineRule="exact"/>
              <w:jc w:val="center"/>
              <w:rPr>
                <w:rFonts w:hint="eastAsia" w:ascii="仿宋" w:hAnsi="仿宋" w:eastAsia="仿宋" w:cs="仿宋"/>
                <w:color w:val="000000"/>
                <w:sz w:val="24"/>
                <w:szCs w:val="24"/>
                <w:highlight w:val="none"/>
              </w:rPr>
            </w:pPr>
          </w:p>
        </w:tc>
        <w:tc>
          <w:tcPr>
            <w:tcW w:w="653" w:type="pct"/>
            <w:tcBorders>
              <w:top w:val="single" w:color="auto" w:sz="4" w:space="0"/>
              <w:left w:val="single" w:color="auto" w:sz="4" w:space="0"/>
              <w:bottom w:val="single" w:color="auto" w:sz="4" w:space="0"/>
              <w:right w:val="single" w:color="auto" w:sz="4" w:space="0"/>
            </w:tcBorders>
            <w:noWrap w:val="0"/>
            <w:vAlign w:val="center"/>
          </w:tcPr>
          <w:p w14:paraId="60735AE8">
            <w:pPr>
              <w:spacing w:line="440" w:lineRule="exact"/>
              <w:jc w:val="center"/>
              <w:rPr>
                <w:rFonts w:hint="eastAsia" w:ascii="仿宋" w:hAnsi="仿宋" w:eastAsia="仿宋" w:cs="仿宋"/>
                <w:color w:val="000000"/>
                <w:sz w:val="24"/>
                <w:szCs w:val="24"/>
                <w:highlight w:val="none"/>
              </w:rPr>
            </w:pPr>
          </w:p>
        </w:tc>
        <w:tc>
          <w:tcPr>
            <w:tcW w:w="784" w:type="pct"/>
            <w:tcBorders>
              <w:top w:val="single" w:color="auto" w:sz="4" w:space="0"/>
              <w:left w:val="single" w:color="auto" w:sz="4" w:space="0"/>
              <w:bottom w:val="single" w:color="auto" w:sz="4" w:space="0"/>
              <w:right w:val="single" w:color="auto" w:sz="4" w:space="0"/>
            </w:tcBorders>
            <w:noWrap w:val="0"/>
            <w:vAlign w:val="top"/>
          </w:tcPr>
          <w:p w14:paraId="759A7B40">
            <w:pPr>
              <w:tabs>
                <w:tab w:val="left" w:pos="480"/>
              </w:tabs>
              <w:jc w:val="center"/>
              <w:rPr>
                <w:rFonts w:hint="eastAsia" w:ascii="仿宋" w:hAnsi="仿宋" w:eastAsia="仿宋" w:cs="仿宋"/>
                <w:color w:val="000000"/>
                <w:sz w:val="24"/>
                <w:szCs w:val="24"/>
                <w:highlight w:val="none"/>
              </w:rPr>
            </w:pPr>
          </w:p>
        </w:tc>
        <w:tc>
          <w:tcPr>
            <w:tcW w:w="488" w:type="pct"/>
            <w:tcBorders>
              <w:top w:val="single" w:color="auto" w:sz="4" w:space="0"/>
              <w:left w:val="single" w:color="auto" w:sz="4" w:space="0"/>
              <w:bottom w:val="single" w:color="auto" w:sz="4" w:space="0"/>
              <w:right w:val="single" w:color="auto" w:sz="4" w:space="0"/>
            </w:tcBorders>
            <w:noWrap w:val="0"/>
            <w:vAlign w:val="top"/>
          </w:tcPr>
          <w:p w14:paraId="77883E46">
            <w:pPr>
              <w:tabs>
                <w:tab w:val="left" w:pos="480"/>
              </w:tabs>
              <w:jc w:val="center"/>
              <w:rPr>
                <w:rFonts w:hint="eastAsia" w:ascii="仿宋" w:hAnsi="仿宋" w:eastAsia="仿宋" w:cs="仿宋"/>
                <w:color w:val="000000"/>
                <w:sz w:val="24"/>
                <w:szCs w:val="24"/>
                <w:highlight w:val="none"/>
              </w:rPr>
            </w:pPr>
          </w:p>
        </w:tc>
      </w:tr>
    </w:tbl>
    <w:p w14:paraId="4B90260E">
      <w:pPr>
        <w:tabs>
          <w:tab w:val="left" w:pos="3710"/>
        </w:tabs>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注：每个项目填一份附件清单，附件清单内容在标配基础上参照标书内各项目配置要求填写。</w:t>
      </w:r>
    </w:p>
    <w:p w14:paraId="33D4DB2A">
      <w:pPr>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br w:type="page"/>
      </w:r>
    </w:p>
    <w:p w14:paraId="4A1EB877">
      <w:pPr>
        <w:tabs>
          <w:tab w:val="left" w:pos="675"/>
        </w:tabs>
        <w:jc w:val="left"/>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附件2：</w:t>
      </w:r>
    </w:p>
    <w:p w14:paraId="7BABD245">
      <w:pPr>
        <w:tabs>
          <w:tab w:val="left" w:pos="675"/>
        </w:tabs>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u w:val="single"/>
        </w:rPr>
        <w:t>品目</w:t>
      </w:r>
      <w:r>
        <w:rPr>
          <w:rFonts w:hint="eastAsia" w:ascii="仿宋" w:hAnsi="仿宋" w:eastAsia="仿宋" w:cs="仿宋"/>
          <w:b/>
          <w:color w:val="000000"/>
          <w:sz w:val="24"/>
          <w:szCs w:val="24"/>
          <w:highlight w:val="none"/>
        </w:rPr>
        <w:t>耗材报价表</w:t>
      </w:r>
    </w:p>
    <w:p w14:paraId="06786F35">
      <w:pPr>
        <w:tabs>
          <w:tab w:val="left" w:pos="675"/>
        </w:tabs>
        <w:jc w:val="center"/>
        <w:rPr>
          <w:rFonts w:hint="eastAsia" w:ascii="仿宋" w:hAnsi="仿宋" w:eastAsia="仿宋" w:cs="仿宋"/>
          <w:b/>
          <w:color w:val="000000"/>
          <w:sz w:val="24"/>
          <w:szCs w:val="24"/>
          <w:highlight w:val="none"/>
        </w:rPr>
      </w:pPr>
    </w:p>
    <w:tbl>
      <w:tblPr>
        <w:tblStyle w:val="5"/>
        <w:tblW w:w="92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82"/>
        <w:gridCol w:w="2635"/>
        <w:gridCol w:w="2099"/>
        <w:gridCol w:w="1217"/>
        <w:gridCol w:w="1434"/>
      </w:tblGrid>
      <w:tr w14:paraId="2309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5256472D">
            <w:pPr>
              <w:spacing w:line="400" w:lineRule="atLeast"/>
              <w:ind w:left="-4664" w:leftChars="-2221" w:right="-3"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182" w:type="dxa"/>
            <w:noWrap w:val="0"/>
            <w:vAlign w:val="center"/>
          </w:tcPr>
          <w:p w14:paraId="284BC7E4">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p w14:paraId="3CB5D37E">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耗材名称</w:t>
            </w:r>
          </w:p>
        </w:tc>
        <w:tc>
          <w:tcPr>
            <w:tcW w:w="2635" w:type="dxa"/>
            <w:noWrap w:val="0"/>
            <w:vAlign w:val="center"/>
          </w:tcPr>
          <w:p w14:paraId="1F2DA8F2">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产品及包装规格</w:t>
            </w:r>
          </w:p>
        </w:tc>
        <w:tc>
          <w:tcPr>
            <w:tcW w:w="2099" w:type="dxa"/>
            <w:noWrap w:val="0"/>
            <w:vAlign w:val="center"/>
          </w:tcPr>
          <w:p w14:paraId="685CD400">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报价</w:t>
            </w:r>
          </w:p>
        </w:tc>
        <w:tc>
          <w:tcPr>
            <w:tcW w:w="1217" w:type="dxa"/>
            <w:noWrap w:val="0"/>
            <w:vAlign w:val="center"/>
          </w:tcPr>
          <w:p w14:paraId="00245108">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制造厂商</w:t>
            </w:r>
          </w:p>
        </w:tc>
        <w:tc>
          <w:tcPr>
            <w:tcW w:w="1434" w:type="dxa"/>
            <w:noWrap w:val="0"/>
            <w:vAlign w:val="center"/>
          </w:tcPr>
          <w:p w14:paraId="1F4CFFA5">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w:t>
            </w:r>
          </w:p>
        </w:tc>
      </w:tr>
      <w:tr w14:paraId="32E2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6C09E880">
            <w:pPr>
              <w:spacing w:line="400" w:lineRule="atLeast"/>
              <w:ind w:left="-4664" w:leftChars="-2221" w:right="-3" w:firstLine="4665" w:firstLineChars="1944"/>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182" w:type="dxa"/>
            <w:noWrap w:val="0"/>
            <w:vAlign w:val="center"/>
          </w:tcPr>
          <w:p w14:paraId="7DBD5AC8">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635" w:type="dxa"/>
            <w:noWrap w:val="0"/>
            <w:vAlign w:val="center"/>
          </w:tcPr>
          <w:p w14:paraId="17DF185D">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099" w:type="dxa"/>
            <w:noWrap w:val="0"/>
            <w:vAlign w:val="center"/>
          </w:tcPr>
          <w:p w14:paraId="0AF19319">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217" w:type="dxa"/>
            <w:noWrap w:val="0"/>
            <w:vAlign w:val="center"/>
          </w:tcPr>
          <w:p w14:paraId="0CE1B8DA">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434" w:type="dxa"/>
            <w:noWrap w:val="0"/>
            <w:vAlign w:val="center"/>
          </w:tcPr>
          <w:p w14:paraId="69B565EE">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r>
      <w:tr w14:paraId="22FC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64DE69A7">
            <w:pPr>
              <w:spacing w:line="400" w:lineRule="atLeast"/>
              <w:ind w:left="-4664" w:leftChars="-2221" w:right="-3" w:firstLine="4665" w:firstLineChars="1944"/>
              <w:jc w:val="center"/>
              <w:rPr>
                <w:rFonts w:hint="eastAsia" w:ascii="仿宋" w:hAnsi="仿宋" w:eastAsia="仿宋" w:cs="仿宋"/>
                <w:color w:val="000000"/>
                <w:sz w:val="24"/>
                <w:szCs w:val="24"/>
                <w:highlight w:val="none"/>
              </w:rPr>
            </w:pPr>
          </w:p>
        </w:tc>
        <w:tc>
          <w:tcPr>
            <w:tcW w:w="1182" w:type="dxa"/>
            <w:noWrap w:val="0"/>
            <w:vAlign w:val="center"/>
          </w:tcPr>
          <w:p w14:paraId="78253CEF">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635" w:type="dxa"/>
            <w:noWrap w:val="0"/>
            <w:vAlign w:val="center"/>
          </w:tcPr>
          <w:p w14:paraId="752601F1">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099" w:type="dxa"/>
            <w:noWrap w:val="0"/>
            <w:vAlign w:val="center"/>
          </w:tcPr>
          <w:p w14:paraId="6D4E1441">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217" w:type="dxa"/>
            <w:noWrap w:val="0"/>
            <w:vAlign w:val="center"/>
          </w:tcPr>
          <w:p w14:paraId="75490E37">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434" w:type="dxa"/>
            <w:noWrap w:val="0"/>
            <w:vAlign w:val="center"/>
          </w:tcPr>
          <w:p w14:paraId="4010FA1D">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r>
      <w:tr w14:paraId="0FBC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5A762303">
            <w:pPr>
              <w:spacing w:line="400" w:lineRule="atLeast"/>
              <w:ind w:left="-4664" w:leftChars="-2221" w:right="-3" w:firstLine="4665" w:firstLineChars="1944"/>
              <w:jc w:val="center"/>
              <w:rPr>
                <w:rFonts w:hint="eastAsia" w:ascii="仿宋" w:hAnsi="仿宋" w:eastAsia="仿宋" w:cs="仿宋"/>
                <w:color w:val="000000"/>
                <w:sz w:val="24"/>
                <w:szCs w:val="24"/>
                <w:highlight w:val="none"/>
              </w:rPr>
            </w:pPr>
          </w:p>
        </w:tc>
        <w:tc>
          <w:tcPr>
            <w:tcW w:w="1182" w:type="dxa"/>
            <w:noWrap w:val="0"/>
            <w:vAlign w:val="center"/>
          </w:tcPr>
          <w:p w14:paraId="1ABAF108">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635" w:type="dxa"/>
            <w:noWrap w:val="0"/>
            <w:vAlign w:val="center"/>
          </w:tcPr>
          <w:p w14:paraId="0A4025D7">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099" w:type="dxa"/>
            <w:noWrap w:val="0"/>
            <w:vAlign w:val="center"/>
          </w:tcPr>
          <w:p w14:paraId="6F690591">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217" w:type="dxa"/>
            <w:noWrap w:val="0"/>
            <w:vAlign w:val="center"/>
          </w:tcPr>
          <w:p w14:paraId="3C7B9785">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434" w:type="dxa"/>
            <w:noWrap w:val="0"/>
            <w:vAlign w:val="center"/>
          </w:tcPr>
          <w:p w14:paraId="1B4BF6B3">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r>
      <w:tr w14:paraId="7ECD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13076758">
            <w:pPr>
              <w:spacing w:line="400" w:lineRule="atLeast"/>
              <w:ind w:left="-4664" w:leftChars="-2221" w:right="-3" w:firstLine="4665" w:firstLineChars="1944"/>
              <w:jc w:val="center"/>
              <w:rPr>
                <w:rFonts w:hint="eastAsia" w:ascii="仿宋" w:hAnsi="仿宋" w:eastAsia="仿宋" w:cs="仿宋"/>
                <w:color w:val="000000"/>
                <w:sz w:val="24"/>
                <w:szCs w:val="24"/>
                <w:highlight w:val="none"/>
              </w:rPr>
            </w:pPr>
          </w:p>
        </w:tc>
        <w:tc>
          <w:tcPr>
            <w:tcW w:w="1182" w:type="dxa"/>
            <w:noWrap w:val="0"/>
            <w:vAlign w:val="center"/>
          </w:tcPr>
          <w:p w14:paraId="34E68511">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635" w:type="dxa"/>
            <w:noWrap w:val="0"/>
            <w:vAlign w:val="center"/>
          </w:tcPr>
          <w:p w14:paraId="4F95E2F7">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2099" w:type="dxa"/>
            <w:noWrap w:val="0"/>
            <w:vAlign w:val="center"/>
          </w:tcPr>
          <w:p w14:paraId="671D0226">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217" w:type="dxa"/>
            <w:noWrap w:val="0"/>
            <w:vAlign w:val="center"/>
          </w:tcPr>
          <w:p w14:paraId="249DBF15">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c>
          <w:tcPr>
            <w:tcW w:w="1434" w:type="dxa"/>
            <w:noWrap w:val="0"/>
            <w:vAlign w:val="center"/>
          </w:tcPr>
          <w:p w14:paraId="76B24EC6">
            <w:pPr>
              <w:spacing w:line="400" w:lineRule="atLeast"/>
              <w:ind w:left="-4664" w:leftChars="-2221" w:right="17" w:firstLine="4665" w:firstLineChars="1944"/>
              <w:jc w:val="center"/>
              <w:rPr>
                <w:rFonts w:hint="eastAsia" w:ascii="仿宋" w:hAnsi="仿宋" w:eastAsia="仿宋" w:cs="仿宋"/>
                <w:color w:val="000000"/>
                <w:sz w:val="24"/>
                <w:szCs w:val="24"/>
                <w:highlight w:val="none"/>
              </w:rPr>
            </w:pPr>
          </w:p>
        </w:tc>
      </w:tr>
    </w:tbl>
    <w:p w14:paraId="7113DC6B">
      <w:pPr>
        <w:tabs>
          <w:tab w:val="left" w:pos="3710"/>
        </w:tabs>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注：每个项目填一份附件清单，附件清单内容参照标书内各项目耗材限价或阳光采购限价填写，不得高于限价。</w:t>
      </w:r>
    </w:p>
    <w:p w14:paraId="7C750CDE">
      <w:pPr>
        <w:rPr>
          <w:rFonts w:hint="eastAsia" w:ascii="宋体" w:hAnsi="宋体" w:cs="宋体"/>
          <w:color w:val="000000"/>
          <w:sz w:val="28"/>
          <w:szCs w:val="28"/>
          <w:highlight w:val="none"/>
        </w:rPr>
      </w:pPr>
      <w:r>
        <w:rPr>
          <w:rFonts w:hint="eastAsia" w:ascii="宋体" w:hAnsi="宋体" w:cs="宋体"/>
          <w:color w:val="000000"/>
          <w:sz w:val="28"/>
          <w:szCs w:val="28"/>
          <w:highlight w:val="none"/>
        </w:rPr>
        <w:br w:type="page"/>
      </w:r>
    </w:p>
    <w:p w14:paraId="716E49F2">
      <w:pPr>
        <w:tabs>
          <w:tab w:val="left" w:pos="3710"/>
        </w:tabs>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附件3： </w:t>
      </w:r>
    </w:p>
    <w:p w14:paraId="4929187D">
      <w:pPr>
        <w:tabs>
          <w:tab w:val="left" w:pos="3710"/>
        </w:tabs>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采购需求</w:t>
      </w:r>
    </w:p>
    <w:p w14:paraId="604E8566">
      <w:pPr>
        <w:pStyle w:val="7"/>
        <w:rPr>
          <w:rFonts w:hint="eastAsia"/>
          <w:highlight w:val="none"/>
          <w:lang w:val="en-US" w:eastAsia="zh-Hans"/>
        </w:rPr>
      </w:pPr>
    </w:p>
    <w:p w14:paraId="2CBC96BD"/>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83B49"/>
    <w:multiLevelType w:val="singleLevel"/>
    <w:tmpl w:val="ACB83B49"/>
    <w:lvl w:ilvl="0" w:tentative="0">
      <w:start w:val="1"/>
      <w:numFmt w:val="decimal"/>
      <w:suff w:val="nothing"/>
      <w:lvlText w:val="%1、"/>
      <w:lvlJc w:val="left"/>
    </w:lvl>
  </w:abstractNum>
  <w:abstractNum w:abstractNumId="1">
    <w:nsid w:val="50D7DE15"/>
    <w:multiLevelType w:val="singleLevel"/>
    <w:tmpl w:val="50D7DE1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D2791"/>
    <w:rsid w:val="029F53A6"/>
    <w:rsid w:val="1887432E"/>
    <w:rsid w:val="18F1119C"/>
    <w:rsid w:val="194D1260"/>
    <w:rsid w:val="1B1D634E"/>
    <w:rsid w:val="1EE7180F"/>
    <w:rsid w:val="1F187782"/>
    <w:rsid w:val="3BBD3BCC"/>
    <w:rsid w:val="3C8448C2"/>
    <w:rsid w:val="47DC362C"/>
    <w:rsid w:val="4EC00A0C"/>
    <w:rsid w:val="74312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200" w:leftChars="200"/>
    </w:pPr>
  </w:style>
  <w:style w:type="paragraph" w:styleId="3">
    <w:name w:val="envelope return"/>
    <w:basedOn w:val="1"/>
    <w:qFormat/>
    <w:uiPriority w:val="99"/>
    <w:pPr>
      <w:snapToGrid w:val="0"/>
    </w:pPr>
    <w:rPr>
      <w:rFonts w:ascii="Arial" w:hAnsi="Arial" w:cs="Arial"/>
    </w:rPr>
  </w:style>
  <w:style w:type="paragraph" w:styleId="4">
    <w:name w:val="Body Text First Indent 2"/>
    <w:basedOn w:val="2"/>
    <w:next w:val="1"/>
    <w:qFormat/>
    <w:uiPriority w:val="99"/>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4565</Words>
  <Characters>4593</Characters>
  <Lines>0</Lines>
  <Paragraphs>0</Paragraphs>
  <TotalTime>6</TotalTime>
  <ScaleCrop>false</ScaleCrop>
  <LinksUpToDate>false</LinksUpToDate>
  <CharactersWithSpaces>4877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2025-10-11T02:02:00Z</dcterms:created>
  <dc:creator>1</dc:creator>
  <cp:lastModifiedBy>生如夏花</cp:lastModifiedBy>
  <dcterms:modified xsi:type="dcterms:W3CDTF">2026-03-30T02:35:57Z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eyJoZGlkIjoiMzczZWQxZTQ3MTUyYmRkODIxZTRlYjJjNTc4MDU1N2EiLCJ1c2VySWQiOiI0NTMyNDE1MTAifQ==</vt:lpwstr>
  </property>
  <property fmtid="{D5CDD505-2E9C-101B-9397-08002B2CF9AE}" pid="4" name="ICV">
    <vt:lpwstr>C20B58423ECF4D75A66BF9C94D77BBE5_12</vt:lpwstr>
  </property>
</Properties>
</file>