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0F0D5C">
      <w:pPr>
        <w:shd w:val="clear" w:color="auto"/>
        <w:spacing w:line="360" w:lineRule="auto"/>
        <w:jc w:val="center"/>
        <w:outlineLvl w:val="0"/>
        <w:rPr>
          <w:rFonts w:eastAsia="仿宋"/>
          <w:color w:val="auto"/>
          <w:sz w:val="52"/>
          <w:szCs w:val="52"/>
          <w:highlight w:val="none"/>
        </w:rPr>
      </w:pPr>
      <w:r>
        <w:rPr>
          <w:rStyle w:val="10"/>
          <w:rFonts w:ascii="Times New Roman" w:eastAsia="仿宋"/>
          <w:b/>
          <w:bCs w:val="0"/>
          <w:color w:val="auto"/>
          <w:sz w:val="32"/>
          <w:szCs w:val="32"/>
          <w:highlight w:val="none"/>
        </w:rPr>
        <w:t>拟签订的合同</w:t>
      </w:r>
      <w:bookmarkStart w:id="0" w:name="_Hlt487972895"/>
      <w:bookmarkEnd w:id="0"/>
      <w:bookmarkStart w:id="1" w:name="_Toc216513788"/>
      <w:bookmarkStart w:id="2" w:name="_Toc487900382"/>
      <w:r>
        <w:rPr>
          <w:rStyle w:val="10"/>
          <w:rFonts w:ascii="Times New Roman" w:eastAsia="仿宋"/>
          <w:b/>
          <w:bCs w:val="0"/>
          <w:color w:val="auto"/>
          <w:sz w:val="32"/>
          <w:szCs w:val="32"/>
          <w:highlight w:val="none"/>
        </w:rPr>
        <w:t>文本</w:t>
      </w:r>
      <w:bookmarkEnd w:id="1"/>
      <w:bookmarkEnd w:id="2"/>
    </w:p>
    <w:p w14:paraId="4D3446E3">
      <w:pPr>
        <w:shd w:val="clear" w:color="auto" w:fill="auto"/>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合同草案</w:t>
      </w:r>
    </w:p>
    <w:p w14:paraId="7095D5D5">
      <w:pPr>
        <w:shd w:val="clear" w:color="auto" w:fill="auto"/>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（合同编号：       ）</w:t>
      </w:r>
    </w:p>
    <w:p w14:paraId="24787392">
      <w:pPr>
        <w:shd w:val="clear" w:color="auto" w:fill="auto"/>
        <w:spacing w:line="360" w:lineRule="auto"/>
        <w:rPr>
          <w:rFonts w:hint="eastAsia" w:ascii="仿宋" w:hAnsi="仿宋" w:eastAsia="仿宋" w:cs="仿宋"/>
          <w:color w:val="auto"/>
          <w:sz w:val="24"/>
          <w:highlight w:val="none"/>
        </w:rPr>
      </w:pPr>
    </w:p>
    <w:p w14:paraId="3CBEF489">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合同当事人：</w:t>
      </w:r>
    </w:p>
    <w:p w14:paraId="5BFF437D">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甲方（采购方）：</w:t>
      </w:r>
      <w:r>
        <w:rPr>
          <w:rFonts w:hint="eastAsia" w:ascii="仿宋" w:hAnsi="仿宋" w:eastAsia="仿宋" w:cs="仿宋"/>
          <w:color w:val="auto"/>
          <w:sz w:val="24"/>
          <w:highlight w:val="none"/>
          <w:u w:val="single"/>
        </w:rPr>
        <w:t xml:space="preserve">      西安市第三医院      　</w:t>
      </w:r>
    </w:p>
    <w:p w14:paraId="3AC20594">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乙方（中标方）：</w:t>
      </w:r>
      <w:r>
        <w:rPr>
          <w:rFonts w:hint="eastAsia" w:ascii="仿宋" w:hAnsi="仿宋" w:eastAsia="仿宋" w:cs="仿宋"/>
          <w:color w:val="auto"/>
          <w:sz w:val="24"/>
          <w:highlight w:val="none"/>
          <w:u w:val="single"/>
        </w:rPr>
        <w:t xml:space="preserve">　　　　　　                </w:t>
      </w:r>
    </w:p>
    <w:p w14:paraId="12658A45">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根据《中华人民共和国民法典》、《中华人民共和国政府采购法》等相关法律法规的规定，</w:t>
      </w:r>
      <w:r>
        <w:rPr>
          <w:rFonts w:hint="eastAsia" w:ascii="仿宋" w:hAnsi="仿宋" w:eastAsia="仿宋" w:cs="仿宋"/>
          <w:color w:val="auto"/>
          <w:sz w:val="24"/>
          <w:highlight w:val="none"/>
          <w:u w:val="single"/>
        </w:rPr>
        <w:t>依据</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年 月 日 甲方通过政府公开招标采购中标的洗消剂名称、规格、产地、中标价格、中标企业（即中标方），以及招标项目最终中标结果，</w:t>
      </w:r>
      <w:r>
        <w:rPr>
          <w:rFonts w:hint="eastAsia" w:ascii="仿宋" w:hAnsi="仿宋" w:eastAsia="仿宋" w:cs="仿宋"/>
          <w:color w:val="auto"/>
          <w:sz w:val="24"/>
          <w:highlight w:val="none"/>
        </w:rPr>
        <w:t>在平等、自愿、公平和诚实信用的原则，经甲方和乙方协商一致，约定下述合同条款，以共同遵守并全面履行。</w:t>
      </w:r>
    </w:p>
    <w:p w14:paraId="4A222E75">
      <w:pPr>
        <w:shd w:val="clear" w:color="auto" w:fill="auto"/>
        <w:spacing w:line="360" w:lineRule="auto"/>
        <w:ind w:firstLine="482" w:firstLineChars="200"/>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 xml:space="preserve">第一条、 合同组成部分 </w:t>
      </w:r>
    </w:p>
    <w:p w14:paraId="51058B79">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下列文件为本合同的组成部分，并构成一个整体，需综合解释、相互补充。如果下列文件内容出现不一致的情形，在保证按照采购文件确定的事项前提下，组成本合同的多个文件的优先适用顺序如下： </w:t>
      </w:r>
    </w:p>
    <w:p w14:paraId="3F4FC411">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1.1.1 本合同及其补充合同、变更协议； </w:t>
      </w:r>
    </w:p>
    <w:p w14:paraId="321A3240">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1.1.2 中标通知书； </w:t>
      </w:r>
    </w:p>
    <w:p w14:paraId="12B81E4E">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1.1.3 投标文件（含澄清或者说明文件）； </w:t>
      </w:r>
    </w:p>
    <w:p w14:paraId="00EC3595">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1.1.4 招标文件（含澄清或者修改文件）； </w:t>
      </w:r>
    </w:p>
    <w:p w14:paraId="38746D25">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1.1.5 其他相关采购文件。</w:t>
      </w:r>
    </w:p>
    <w:p w14:paraId="4F14E6CE">
      <w:pPr>
        <w:shd w:val="clear" w:color="auto" w:fill="auto"/>
        <w:spacing w:line="360" w:lineRule="auto"/>
        <w:ind w:firstLine="482" w:firstLineChars="20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第二条、货物</w:t>
      </w:r>
    </w:p>
    <w:p w14:paraId="69A18CF3">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本合同条款适用于本次医用洗消剂中标产品的配送供应工作，乙方按照中标产品基本参数要求和中标结果为甲方供应以下消毒剂产品。</w:t>
      </w:r>
    </w:p>
    <w:tbl>
      <w:tblPr>
        <w:tblStyle w:val="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2"/>
        <w:gridCol w:w="1604"/>
        <w:gridCol w:w="993"/>
        <w:gridCol w:w="1275"/>
        <w:gridCol w:w="1134"/>
        <w:gridCol w:w="1153"/>
        <w:gridCol w:w="1591"/>
      </w:tblGrid>
      <w:tr w14:paraId="21945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772" w:type="dxa"/>
            <w:noWrap/>
            <w:vAlign w:val="center"/>
          </w:tcPr>
          <w:p w14:paraId="24A29BE1">
            <w:pPr>
              <w:widowControl/>
              <w:shd w:val="clear" w:color="auto" w:fill="auto"/>
              <w:spacing w:line="360" w:lineRule="auto"/>
              <w:jc w:val="center"/>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序号</w:t>
            </w:r>
          </w:p>
        </w:tc>
        <w:tc>
          <w:tcPr>
            <w:tcW w:w="1604" w:type="dxa"/>
            <w:noWrap/>
            <w:vAlign w:val="center"/>
          </w:tcPr>
          <w:p w14:paraId="32D1CAC7">
            <w:pPr>
              <w:widowControl/>
              <w:shd w:val="clear" w:color="auto" w:fill="auto"/>
              <w:spacing w:line="360" w:lineRule="auto"/>
              <w:jc w:val="center"/>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产品名称</w:t>
            </w:r>
          </w:p>
        </w:tc>
        <w:tc>
          <w:tcPr>
            <w:tcW w:w="993" w:type="dxa"/>
            <w:noWrap/>
            <w:vAlign w:val="center"/>
          </w:tcPr>
          <w:p w14:paraId="027308DC">
            <w:pPr>
              <w:widowControl/>
              <w:shd w:val="clear" w:color="auto" w:fill="auto"/>
              <w:spacing w:line="360" w:lineRule="auto"/>
              <w:jc w:val="center"/>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规格</w:t>
            </w:r>
          </w:p>
        </w:tc>
        <w:tc>
          <w:tcPr>
            <w:tcW w:w="1275" w:type="dxa"/>
            <w:noWrap/>
            <w:vAlign w:val="center"/>
          </w:tcPr>
          <w:p w14:paraId="24E3033E">
            <w:pPr>
              <w:widowControl/>
              <w:shd w:val="clear" w:color="auto" w:fill="auto"/>
              <w:spacing w:line="360" w:lineRule="auto"/>
              <w:jc w:val="center"/>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包装单位</w:t>
            </w:r>
          </w:p>
        </w:tc>
        <w:tc>
          <w:tcPr>
            <w:tcW w:w="1134" w:type="dxa"/>
            <w:noWrap w:val="0"/>
            <w:vAlign w:val="top"/>
          </w:tcPr>
          <w:p w14:paraId="34470194">
            <w:pPr>
              <w:widowControl/>
              <w:shd w:val="clear" w:color="auto" w:fill="auto"/>
              <w:spacing w:line="360" w:lineRule="auto"/>
              <w:jc w:val="center"/>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生产企业</w:t>
            </w:r>
          </w:p>
        </w:tc>
        <w:tc>
          <w:tcPr>
            <w:tcW w:w="1153" w:type="dxa"/>
            <w:noWrap w:val="0"/>
            <w:vAlign w:val="bottom"/>
          </w:tcPr>
          <w:p w14:paraId="6C9B7EF2">
            <w:pPr>
              <w:widowControl/>
              <w:shd w:val="clear" w:color="auto" w:fill="auto"/>
              <w:spacing w:line="360" w:lineRule="auto"/>
              <w:jc w:val="center"/>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中标企业</w:t>
            </w:r>
          </w:p>
        </w:tc>
        <w:tc>
          <w:tcPr>
            <w:tcW w:w="1591" w:type="dxa"/>
            <w:noWrap/>
            <w:vAlign w:val="bottom"/>
          </w:tcPr>
          <w:p w14:paraId="651E89D0">
            <w:pPr>
              <w:widowControl/>
              <w:shd w:val="clear" w:color="auto" w:fill="auto"/>
              <w:spacing w:line="360" w:lineRule="auto"/>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中标价格（元）</w:t>
            </w:r>
          </w:p>
        </w:tc>
      </w:tr>
      <w:tr w14:paraId="38E87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772" w:type="dxa"/>
            <w:noWrap/>
            <w:vAlign w:val="center"/>
          </w:tcPr>
          <w:p w14:paraId="6092E772">
            <w:pPr>
              <w:widowControl/>
              <w:shd w:val="clear" w:color="auto" w:fill="auto"/>
              <w:spacing w:line="360" w:lineRule="auto"/>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w:t>
            </w:r>
          </w:p>
        </w:tc>
        <w:tc>
          <w:tcPr>
            <w:tcW w:w="1604" w:type="dxa"/>
            <w:noWrap/>
            <w:vAlign w:val="center"/>
          </w:tcPr>
          <w:p w14:paraId="5B5E649E">
            <w:pPr>
              <w:widowControl/>
              <w:shd w:val="clear" w:color="auto" w:fill="auto"/>
              <w:spacing w:line="360" w:lineRule="auto"/>
              <w:jc w:val="center"/>
              <w:rPr>
                <w:rFonts w:hint="eastAsia" w:ascii="仿宋" w:hAnsi="仿宋" w:eastAsia="仿宋" w:cs="仿宋"/>
                <w:color w:val="auto"/>
                <w:kern w:val="0"/>
                <w:sz w:val="24"/>
                <w:highlight w:val="none"/>
              </w:rPr>
            </w:pPr>
          </w:p>
        </w:tc>
        <w:tc>
          <w:tcPr>
            <w:tcW w:w="993" w:type="dxa"/>
            <w:noWrap/>
            <w:vAlign w:val="center"/>
          </w:tcPr>
          <w:p w14:paraId="64C5EA20">
            <w:pPr>
              <w:widowControl/>
              <w:shd w:val="clear" w:color="auto" w:fill="auto"/>
              <w:spacing w:line="360" w:lineRule="auto"/>
              <w:jc w:val="center"/>
              <w:rPr>
                <w:rFonts w:hint="eastAsia" w:ascii="仿宋" w:hAnsi="仿宋" w:eastAsia="仿宋" w:cs="仿宋"/>
                <w:color w:val="auto"/>
                <w:kern w:val="0"/>
                <w:sz w:val="24"/>
                <w:highlight w:val="none"/>
              </w:rPr>
            </w:pPr>
          </w:p>
        </w:tc>
        <w:tc>
          <w:tcPr>
            <w:tcW w:w="1275" w:type="dxa"/>
            <w:noWrap/>
            <w:vAlign w:val="center"/>
          </w:tcPr>
          <w:p w14:paraId="37B26784">
            <w:pPr>
              <w:widowControl/>
              <w:shd w:val="clear" w:color="auto" w:fill="auto"/>
              <w:spacing w:line="360" w:lineRule="auto"/>
              <w:rPr>
                <w:rFonts w:hint="eastAsia" w:ascii="仿宋" w:hAnsi="仿宋" w:eastAsia="仿宋" w:cs="仿宋"/>
                <w:color w:val="auto"/>
                <w:kern w:val="0"/>
                <w:sz w:val="24"/>
                <w:highlight w:val="none"/>
              </w:rPr>
            </w:pPr>
          </w:p>
        </w:tc>
        <w:tc>
          <w:tcPr>
            <w:tcW w:w="1134" w:type="dxa"/>
            <w:noWrap w:val="0"/>
            <w:vAlign w:val="top"/>
          </w:tcPr>
          <w:p w14:paraId="0252DB4C">
            <w:pPr>
              <w:widowControl/>
              <w:shd w:val="clear" w:color="auto" w:fill="auto"/>
              <w:spacing w:line="360" w:lineRule="auto"/>
              <w:jc w:val="center"/>
              <w:rPr>
                <w:rFonts w:hint="eastAsia" w:ascii="仿宋" w:hAnsi="仿宋" w:eastAsia="仿宋" w:cs="仿宋"/>
                <w:color w:val="auto"/>
                <w:kern w:val="0"/>
                <w:sz w:val="24"/>
                <w:highlight w:val="none"/>
              </w:rPr>
            </w:pPr>
          </w:p>
        </w:tc>
        <w:tc>
          <w:tcPr>
            <w:tcW w:w="1153" w:type="dxa"/>
            <w:noWrap w:val="0"/>
            <w:vAlign w:val="top"/>
          </w:tcPr>
          <w:p w14:paraId="6B4A301F">
            <w:pPr>
              <w:widowControl/>
              <w:shd w:val="clear" w:color="auto" w:fill="auto"/>
              <w:spacing w:line="360" w:lineRule="auto"/>
              <w:jc w:val="center"/>
              <w:rPr>
                <w:rFonts w:hint="eastAsia" w:ascii="仿宋" w:hAnsi="仿宋" w:eastAsia="仿宋" w:cs="仿宋"/>
                <w:color w:val="auto"/>
                <w:kern w:val="0"/>
                <w:sz w:val="24"/>
                <w:highlight w:val="none"/>
              </w:rPr>
            </w:pPr>
          </w:p>
        </w:tc>
        <w:tc>
          <w:tcPr>
            <w:tcW w:w="1591" w:type="dxa"/>
            <w:noWrap/>
            <w:vAlign w:val="bottom"/>
          </w:tcPr>
          <w:p w14:paraId="7A176658">
            <w:pPr>
              <w:widowControl/>
              <w:shd w:val="clear" w:color="auto" w:fill="auto"/>
              <w:spacing w:line="360" w:lineRule="auto"/>
              <w:jc w:val="center"/>
              <w:rPr>
                <w:rFonts w:hint="eastAsia" w:ascii="仿宋" w:hAnsi="仿宋" w:eastAsia="仿宋" w:cs="仿宋"/>
                <w:color w:val="auto"/>
                <w:kern w:val="0"/>
                <w:sz w:val="24"/>
                <w:highlight w:val="none"/>
              </w:rPr>
            </w:pPr>
          </w:p>
        </w:tc>
      </w:tr>
      <w:tr w14:paraId="2CAE4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772" w:type="dxa"/>
            <w:noWrap/>
            <w:vAlign w:val="center"/>
          </w:tcPr>
          <w:p w14:paraId="31AC8425">
            <w:pPr>
              <w:widowControl/>
              <w:shd w:val="clear" w:color="auto" w:fill="auto"/>
              <w:spacing w:line="360" w:lineRule="auto"/>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w:t>
            </w:r>
          </w:p>
        </w:tc>
        <w:tc>
          <w:tcPr>
            <w:tcW w:w="1604" w:type="dxa"/>
            <w:noWrap/>
            <w:vAlign w:val="center"/>
          </w:tcPr>
          <w:p w14:paraId="1614AA2F">
            <w:pPr>
              <w:widowControl/>
              <w:shd w:val="clear" w:color="auto" w:fill="auto"/>
              <w:spacing w:line="360" w:lineRule="auto"/>
              <w:jc w:val="center"/>
              <w:rPr>
                <w:rFonts w:hint="eastAsia" w:ascii="仿宋" w:hAnsi="仿宋" w:eastAsia="仿宋" w:cs="仿宋"/>
                <w:color w:val="auto"/>
                <w:kern w:val="0"/>
                <w:sz w:val="24"/>
                <w:highlight w:val="none"/>
              </w:rPr>
            </w:pPr>
          </w:p>
        </w:tc>
        <w:tc>
          <w:tcPr>
            <w:tcW w:w="993" w:type="dxa"/>
            <w:noWrap/>
            <w:vAlign w:val="center"/>
          </w:tcPr>
          <w:p w14:paraId="78D64CC1">
            <w:pPr>
              <w:widowControl/>
              <w:shd w:val="clear" w:color="auto" w:fill="auto"/>
              <w:spacing w:line="360" w:lineRule="auto"/>
              <w:jc w:val="center"/>
              <w:rPr>
                <w:rFonts w:hint="eastAsia" w:ascii="仿宋" w:hAnsi="仿宋" w:eastAsia="仿宋" w:cs="仿宋"/>
                <w:color w:val="auto"/>
                <w:kern w:val="0"/>
                <w:sz w:val="24"/>
                <w:highlight w:val="none"/>
              </w:rPr>
            </w:pPr>
          </w:p>
        </w:tc>
        <w:tc>
          <w:tcPr>
            <w:tcW w:w="1275" w:type="dxa"/>
            <w:noWrap/>
            <w:vAlign w:val="center"/>
          </w:tcPr>
          <w:p w14:paraId="3456D639">
            <w:pPr>
              <w:widowControl/>
              <w:shd w:val="clear" w:color="auto" w:fill="auto"/>
              <w:spacing w:line="360" w:lineRule="auto"/>
              <w:jc w:val="center"/>
              <w:rPr>
                <w:rFonts w:hint="eastAsia" w:ascii="仿宋" w:hAnsi="仿宋" w:eastAsia="仿宋" w:cs="仿宋"/>
                <w:color w:val="auto"/>
                <w:kern w:val="0"/>
                <w:sz w:val="24"/>
                <w:highlight w:val="none"/>
              </w:rPr>
            </w:pPr>
          </w:p>
        </w:tc>
        <w:tc>
          <w:tcPr>
            <w:tcW w:w="1134" w:type="dxa"/>
            <w:noWrap w:val="0"/>
            <w:vAlign w:val="top"/>
          </w:tcPr>
          <w:p w14:paraId="5BED5EAA">
            <w:pPr>
              <w:widowControl/>
              <w:shd w:val="clear" w:color="auto" w:fill="auto"/>
              <w:spacing w:line="360" w:lineRule="auto"/>
              <w:jc w:val="center"/>
              <w:rPr>
                <w:rFonts w:hint="eastAsia" w:ascii="仿宋" w:hAnsi="仿宋" w:eastAsia="仿宋" w:cs="仿宋"/>
                <w:color w:val="auto"/>
                <w:kern w:val="0"/>
                <w:sz w:val="24"/>
                <w:highlight w:val="none"/>
              </w:rPr>
            </w:pPr>
          </w:p>
        </w:tc>
        <w:tc>
          <w:tcPr>
            <w:tcW w:w="1153" w:type="dxa"/>
            <w:noWrap w:val="0"/>
            <w:vAlign w:val="top"/>
          </w:tcPr>
          <w:p w14:paraId="5B6CCB72">
            <w:pPr>
              <w:widowControl/>
              <w:shd w:val="clear" w:color="auto" w:fill="auto"/>
              <w:spacing w:line="360" w:lineRule="auto"/>
              <w:jc w:val="center"/>
              <w:rPr>
                <w:rFonts w:hint="eastAsia" w:ascii="仿宋" w:hAnsi="仿宋" w:eastAsia="仿宋" w:cs="仿宋"/>
                <w:color w:val="auto"/>
                <w:kern w:val="0"/>
                <w:sz w:val="24"/>
                <w:highlight w:val="none"/>
              </w:rPr>
            </w:pPr>
          </w:p>
        </w:tc>
        <w:tc>
          <w:tcPr>
            <w:tcW w:w="1591" w:type="dxa"/>
            <w:noWrap/>
            <w:vAlign w:val="bottom"/>
          </w:tcPr>
          <w:p w14:paraId="6911E907">
            <w:pPr>
              <w:widowControl/>
              <w:shd w:val="clear" w:color="auto" w:fill="auto"/>
              <w:spacing w:line="360" w:lineRule="auto"/>
              <w:jc w:val="center"/>
              <w:rPr>
                <w:rFonts w:hint="eastAsia" w:ascii="仿宋" w:hAnsi="仿宋" w:eastAsia="仿宋" w:cs="仿宋"/>
                <w:color w:val="auto"/>
                <w:kern w:val="0"/>
                <w:sz w:val="24"/>
                <w:highlight w:val="none"/>
              </w:rPr>
            </w:pPr>
          </w:p>
        </w:tc>
      </w:tr>
      <w:tr w14:paraId="0EFEC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772" w:type="dxa"/>
            <w:noWrap/>
            <w:vAlign w:val="center"/>
          </w:tcPr>
          <w:p w14:paraId="7BE82A7E">
            <w:pPr>
              <w:widowControl/>
              <w:shd w:val="clear" w:color="auto" w:fill="auto"/>
              <w:spacing w:line="360" w:lineRule="auto"/>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w:t>
            </w:r>
          </w:p>
        </w:tc>
        <w:tc>
          <w:tcPr>
            <w:tcW w:w="1604" w:type="dxa"/>
            <w:noWrap/>
            <w:vAlign w:val="center"/>
          </w:tcPr>
          <w:p w14:paraId="3002D205">
            <w:pPr>
              <w:widowControl/>
              <w:shd w:val="clear" w:color="auto" w:fill="auto"/>
              <w:spacing w:line="360" w:lineRule="auto"/>
              <w:jc w:val="center"/>
              <w:rPr>
                <w:rFonts w:hint="eastAsia" w:ascii="仿宋" w:hAnsi="仿宋" w:eastAsia="仿宋" w:cs="仿宋"/>
                <w:color w:val="auto"/>
                <w:kern w:val="0"/>
                <w:sz w:val="24"/>
                <w:highlight w:val="none"/>
              </w:rPr>
            </w:pPr>
          </w:p>
        </w:tc>
        <w:tc>
          <w:tcPr>
            <w:tcW w:w="993" w:type="dxa"/>
            <w:noWrap/>
            <w:vAlign w:val="center"/>
          </w:tcPr>
          <w:p w14:paraId="6CF05D4D">
            <w:pPr>
              <w:widowControl/>
              <w:shd w:val="clear" w:color="auto" w:fill="auto"/>
              <w:spacing w:line="360" w:lineRule="auto"/>
              <w:jc w:val="center"/>
              <w:rPr>
                <w:rFonts w:hint="eastAsia" w:ascii="仿宋" w:hAnsi="仿宋" w:eastAsia="仿宋" w:cs="仿宋"/>
                <w:color w:val="auto"/>
                <w:kern w:val="0"/>
                <w:sz w:val="24"/>
                <w:highlight w:val="none"/>
              </w:rPr>
            </w:pPr>
          </w:p>
        </w:tc>
        <w:tc>
          <w:tcPr>
            <w:tcW w:w="1275" w:type="dxa"/>
            <w:noWrap/>
            <w:vAlign w:val="center"/>
          </w:tcPr>
          <w:p w14:paraId="5A945766">
            <w:pPr>
              <w:widowControl/>
              <w:shd w:val="clear" w:color="auto" w:fill="auto"/>
              <w:spacing w:line="360" w:lineRule="auto"/>
              <w:jc w:val="center"/>
              <w:rPr>
                <w:rFonts w:hint="eastAsia" w:ascii="仿宋" w:hAnsi="仿宋" w:eastAsia="仿宋" w:cs="仿宋"/>
                <w:color w:val="auto"/>
                <w:kern w:val="0"/>
                <w:sz w:val="24"/>
                <w:highlight w:val="none"/>
              </w:rPr>
            </w:pPr>
          </w:p>
        </w:tc>
        <w:tc>
          <w:tcPr>
            <w:tcW w:w="1134" w:type="dxa"/>
            <w:noWrap w:val="0"/>
            <w:vAlign w:val="top"/>
          </w:tcPr>
          <w:p w14:paraId="58145BC3">
            <w:pPr>
              <w:widowControl/>
              <w:shd w:val="clear" w:color="auto" w:fill="auto"/>
              <w:spacing w:line="360" w:lineRule="auto"/>
              <w:jc w:val="center"/>
              <w:rPr>
                <w:rFonts w:hint="eastAsia" w:ascii="仿宋" w:hAnsi="仿宋" w:eastAsia="仿宋" w:cs="仿宋"/>
                <w:color w:val="auto"/>
                <w:kern w:val="0"/>
                <w:sz w:val="24"/>
                <w:highlight w:val="none"/>
              </w:rPr>
            </w:pPr>
          </w:p>
        </w:tc>
        <w:tc>
          <w:tcPr>
            <w:tcW w:w="1153" w:type="dxa"/>
            <w:noWrap w:val="0"/>
            <w:vAlign w:val="top"/>
          </w:tcPr>
          <w:p w14:paraId="687A56B2">
            <w:pPr>
              <w:widowControl/>
              <w:shd w:val="clear" w:color="auto" w:fill="auto"/>
              <w:spacing w:line="360" w:lineRule="auto"/>
              <w:jc w:val="center"/>
              <w:rPr>
                <w:rFonts w:hint="eastAsia" w:ascii="仿宋" w:hAnsi="仿宋" w:eastAsia="仿宋" w:cs="仿宋"/>
                <w:color w:val="auto"/>
                <w:kern w:val="0"/>
                <w:sz w:val="24"/>
                <w:highlight w:val="none"/>
              </w:rPr>
            </w:pPr>
          </w:p>
        </w:tc>
        <w:tc>
          <w:tcPr>
            <w:tcW w:w="1591" w:type="dxa"/>
            <w:noWrap/>
            <w:vAlign w:val="bottom"/>
          </w:tcPr>
          <w:p w14:paraId="1C1EDE5C">
            <w:pPr>
              <w:widowControl/>
              <w:shd w:val="clear" w:color="auto" w:fill="auto"/>
              <w:spacing w:line="360" w:lineRule="auto"/>
              <w:jc w:val="center"/>
              <w:rPr>
                <w:rFonts w:hint="eastAsia" w:ascii="仿宋" w:hAnsi="仿宋" w:eastAsia="仿宋" w:cs="仿宋"/>
                <w:color w:val="auto"/>
                <w:kern w:val="0"/>
                <w:sz w:val="24"/>
                <w:highlight w:val="none"/>
              </w:rPr>
            </w:pPr>
          </w:p>
        </w:tc>
      </w:tr>
      <w:tr w14:paraId="1B5DD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772" w:type="dxa"/>
            <w:noWrap/>
            <w:vAlign w:val="center"/>
          </w:tcPr>
          <w:p w14:paraId="2795AB72">
            <w:pPr>
              <w:widowControl/>
              <w:shd w:val="clear" w:color="auto" w:fill="auto"/>
              <w:spacing w:line="360" w:lineRule="auto"/>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w:t>
            </w:r>
          </w:p>
        </w:tc>
        <w:tc>
          <w:tcPr>
            <w:tcW w:w="1604" w:type="dxa"/>
            <w:noWrap/>
            <w:vAlign w:val="center"/>
          </w:tcPr>
          <w:p w14:paraId="4F61CEE2">
            <w:pPr>
              <w:widowControl/>
              <w:shd w:val="clear" w:color="auto" w:fill="auto"/>
              <w:spacing w:line="360" w:lineRule="auto"/>
              <w:jc w:val="center"/>
              <w:rPr>
                <w:rFonts w:hint="eastAsia" w:ascii="仿宋" w:hAnsi="仿宋" w:eastAsia="仿宋" w:cs="仿宋"/>
                <w:color w:val="auto"/>
                <w:kern w:val="0"/>
                <w:sz w:val="24"/>
                <w:highlight w:val="none"/>
              </w:rPr>
            </w:pPr>
          </w:p>
        </w:tc>
        <w:tc>
          <w:tcPr>
            <w:tcW w:w="993" w:type="dxa"/>
            <w:noWrap/>
            <w:vAlign w:val="center"/>
          </w:tcPr>
          <w:p w14:paraId="70D7CF72">
            <w:pPr>
              <w:widowControl/>
              <w:shd w:val="clear" w:color="auto" w:fill="auto"/>
              <w:spacing w:line="360" w:lineRule="auto"/>
              <w:jc w:val="center"/>
              <w:rPr>
                <w:rFonts w:hint="eastAsia" w:ascii="仿宋" w:hAnsi="仿宋" w:eastAsia="仿宋" w:cs="仿宋"/>
                <w:color w:val="auto"/>
                <w:kern w:val="0"/>
                <w:sz w:val="24"/>
                <w:highlight w:val="none"/>
              </w:rPr>
            </w:pPr>
          </w:p>
        </w:tc>
        <w:tc>
          <w:tcPr>
            <w:tcW w:w="1275" w:type="dxa"/>
            <w:noWrap/>
            <w:vAlign w:val="center"/>
          </w:tcPr>
          <w:p w14:paraId="0A8065C1">
            <w:pPr>
              <w:widowControl/>
              <w:shd w:val="clear" w:color="auto" w:fill="auto"/>
              <w:spacing w:line="360" w:lineRule="auto"/>
              <w:jc w:val="center"/>
              <w:rPr>
                <w:rFonts w:hint="eastAsia" w:ascii="仿宋" w:hAnsi="仿宋" w:eastAsia="仿宋" w:cs="仿宋"/>
                <w:color w:val="auto"/>
                <w:kern w:val="0"/>
                <w:sz w:val="24"/>
                <w:highlight w:val="none"/>
              </w:rPr>
            </w:pPr>
          </w:p>
        </w:tc>
        <w:tc>
          <w:tcPr>
            <w:tcW w:w="1134" w:type="dxa"/>
            <w:noWrap w:val="0"/>
            <w:vAlign w:val="top"/>
          </w:tcPr>
          <w:p w14:paraId="545C09AA">
            <w:pPr>
              <w:widowControl/>
              <w:shd w:val="clear" w:color="auto" w:fill="auto"/>
              <w:spacing w:line="360" w:lineRule="auto"/>
              <w:jc w:val="center"/>
              <w:rPr>
                <w:rFonts w:hint="eastAsia" w:ascii="仿宋" w:hAnsi="仿宋" w:eastAsia="仿宋" w:cs="仿宋"/>
                <w:color w:val="auto"/>
                <w:kern w:val="0"/>
                <w:sz w:val="24"/>
                <w:highlight w:val="none"/>
              </w:rPr>
            </w:pPr>
          </w:p>
        </w:tc>
        <w:tc>
          <w:tcPr>
            <w:tcW w:w="1153" w:type="dxa"/>
            <w:noWrap w:val="0"/>
            <w:vAlign w:val="top"/>
          </w:tcPr>
          <w:p w14:paraId="5819EB46">
            <w:pPr>
              <w:widowControl/>
              <w:shd w:val="clear" w:color="auto" w:fill="auto"/>
              <w:spacing w:line="360" w:lineRule="auto"/>
              <w:jc w:val="center"/>
              <w:rPr>
                <w:rFonts w:hint="eastAsia" w:ascii="仿宋" w:hAnsi="仿宋" w:eastAsia="仿宋" w:cs="仿宋"/>
                <w:color w:val="auto"/>
                <w:kern w:val="0"/>
                <w:sz w:val="24"/>
                <w:highlight w:val="none"/>
              </w:rPr>
            </w:pPr>
          </w:p>
        </w:tc>
        <w:tc>
          <w:tcPr>
            <w:tcW w:w="1591" w:type="dxa"/>
            <w:noWrap/>
            <w:vAlign w:val="bottom"/>
          </w:tcPr>
          <w:p w14:paraId="539EEEC5">
            <w:pPr>
              <w:widowControl/>
              <w:shd w:val="clear" w:color="auto" w:fill="auto"/>
              <w:spacing w:line="360" w:lineRule="auto"/>
              <w:jc w:val="center"/>
              <w:rPr>
                <w:rFonts w:hint="eastAsia" w:ascii="仿宋" w:hAnsi="仿宋" w:eastAsia="仿宋" w:cs="仿宋"/>
                <w:color w:val="auto"/>
                <w:kern w:val="0"/>
                <w:sz w:val="24"/>
                <w:highlight w:val="none"/>
              </w:rPr>
            </w:pPr>
          </w:p>
        </w:tc>
      </w:tr>
      <w:tr w14:paraId="4B4D9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772" w:type="dxa"/>
            <w:noWrap/>
            <w:vAlign w:val="center"/>
          </w:tcPr>
          <w:p w14:paraId="4B167DBC">
            <w:pPr>
              <w:widowControl/>
              <w:shd w:val="clear" w:color="auto" w:fill="auto"/>
              <w:spacing w:line="360" w:lineRule="auto"/>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w:t>
            </w:r>
          </w:p>
        </w:tc>
        <w:tc>
          <w:tcPr>
            <w:tcW w:w="1604" w:type="dxa"/>
            <w:noWrap/>
            <w:vAlign w:val="center"/>
          </w:tcPr>
          <w:p w14:paraId="49062198">
            <w:pPr>
              <w:widowControl/>
              <w:shd w:val="clear" w:color="auto" w:fill="auto"/>
              <w:spacing w:line="360" w:lineRule="auto"/>
              <w:jc w:val="center"/>
              <w:rPr>
                <w:rFonts w:hint="eastAsia" w:ascii="仿宋" w:hAnsi="仿宋" w:eastAsia="仿宋" w:cs="仿宋"/>
                <w:color w:val="auto"/>
                <w:kern w:val="0"/>
                <w:sz w:val="24"/>
                <w:highlight w:val="none"/>
              </w:rPr>
            </w:pPr>
          </w:p>
        </w:tc>
        <w:tc>
          <w:tcPr>
            <w:tcW w:w="993" w:type="dxa"/>
            <w:noWrap/>
            <w:vAlign w:val="center"/>
          </w:tcPr>
          <w:p w14:paraId="111F01F3">
            <w:pPr>
              <w:widowControl/>
              <w:shd w:val="clear" w:color="auto" w:fill="auto"/>
              <w:spacing w:line="360" w:lineRule="auto"/>
              <w:jc w:val="center"/>
              <w:rPr>
                <w:rFonts w:hint="eastAsia" w:ascii="仿宋" w:hAnsi="仿宋" w:eastAsia="仿宋" w:cs="仿宋"/>
                <w:color w:val="auto"/>
                <w:kern w:val="0"/>
                <w:sz w:val="24"/>
                <w:highlight w:val="none"/>
              </w:rPr>
            </w:pPr>
          </w:p>
        </w:tc>
        <w:tc>
          <w:tcPr>
            <w:tcW w:w="1275" w:type="dxa"/>
            <w:noWrap/>
            <w:vAlign w:val="center"/>
          </w:tcPr>
          <w:p w14:paraId="4D59E0A0">
            <w:pPr>
              <w:widowControl/>
              <w:shd w:val="clear" w:color="auto" w:fill="auto"/>
              <w:spacing w:line="360" w:lineRule="auto"/>
              <w:jc w:val="center"/>
              <w:rPr>
                <w:rFonts w:hint="eastAsia" w:ascii="仿宋" w:hAnsi="仿宋" w:eastAsia="仿宋" w:cs="仿宋"/>
                <w:color w:val="auto"/>
                <w:kern w:val="0"/>
                <w:sz w:val="24"/>
                <w:highlight w:val="none"/>
              </w:rPr>
            </w:pPr>
          </w:p>
        </w:tc>
        <w:tc>
          <w:tcPr>
            <w:tcW w:w="1134" w:type="dxa"/>
            <w:noWrap w:val="0"/>
            <w:vAlign w:val="top"/>
          </w:tcPr>
          <w:p w14:paraId="1C3A80E4">
            <w:pPr>
              <w:widowControl/>
              <w:shd w:val="clear" w:color="auto" w:fill="auto"/>
              <w:spacing w:line="360" w:lineRule="auto"/>
              <w:jc w:val="center"/>
              <w:rPr>
                <w:rFonts w:hint="eastAsia" w:ascii="仿宋" w:hAnsi="仿宋" w:eastAsia="仿宋" w:cs="仿宋"/>
                <w:color w:val="auto"/>
                <w:kern w:val="0"/>
                <w:sz w:val="24"/>
                <w:highlight w:val="none"/>
              </w:rPr>
            </w:pPr>
          </w:p>
        </w:tc>
        <w:tc>
          <w:tcPr>
            <w:tcW w:w="1153" w:type="dxa"/>
            <w:noWrap w:val="0"/>
            <w:vAlign w:val="top"/>
          </w:tcPr>
          <w:p w14:paraId="73372611">
            <w:pPr>
              <w:widowControl/>
              <w:shd w:val="clear" w:color="auto" w:fill="auto"/>
              <w:spacing w:line="360" w:lineRule="auto"/>
              <w:jc w:val="center"/>
              <w:rPr>
                <w:rFonts w:hint="eastAsia" w:ascii="仿宋" w:hAnsi="仿宋" w:eastAsia="仿宋" w:cs="仿宋"/>
                <w:color w:val="auto"/>
                <w:kern w:val="0"/>
                <w:sz w:val="24"/>
                <w:highlight w:val="none"/>
              </w:rPr>
            </w:pPr>
          </w:p>
        </w:tc>
        <w:tc>
          <w:tcPr>
            <w:tcW w:w="1591" w:type="dxa"/>
            <w:noWrap/>
            <w:vAlign w:val="bottom"/>
          </w:tcPr>
          <w:p w14:paraId="04A2B21B">
            <w:pPr>
              <w:widowControl/>
              <w:shd w:val="clear" w:color="auto" w:fill="auto"/>
              <w:spacing w:line="360" w:lineRule="auto"/>
              <w:jc w:val="center"/>
              <w:rPr>
                <w:rFonts w:hint="eastAsia" w:ascii="仿宋" w:hAnsi="仿宋" w:eastAsia="仿宋" w:cs="仿宋"/>
                <w:color w:val="auto"/>
                <w:kern w:val="0"/>
                <w:sz w:val="24"/>
                <w:highlight w:val="none"/>
              </w:rPr>
            </w:pPr>
          </w:p>
        </w:tc>
      </w:tr>
      <w:tr w14:paraId="71A4F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772" w:type="dxa"/>
            <w:noWrap/>
            <w:vAlign w:val="center"/>
          </w:tcPr>
          <w:p w14:paraId="581F55DE">
            <w:pPr>
              <w:widowControl/>
              <w:shd w:val="clear" w:color="auto" w:fill="auto"/>
              <w:spacing w:line="360" w:lineRule="auto"/>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w:t>
            </w:r>
          </w:p>
        </w:tc>
        <w:tc>
          <w:tcPr>
            <w:tcW w:w="1604" w:type="dxa"/>
            <w:noWrap/>
            <w:vAlign w:val="center"/>
          </w:tcPr>
          <w:p w14:paraId="29965150">
            <w:pPr>
              <w:widowControl/>
              <w:shd w:val="clear" w:color="auto" w:fill="auto"/>
              <w:spacing w:line="360" w:lineRule="auto"/>
              <w:jc w:val="center"/>
              <w:rPr>
                <w:rFonts w:hint="eastAsia" w:ascii="仿宋" w:hAnsi="仿宋" w:eastAsia="仿宋" w:cs="仿宋"/>
                <w:color w:val="auto"/>
                <w:kern w:val="0"/>
                <w:sz w:val="24"/>
                <w:highlight w:val="none"/>
              </w:rPr>
            </w:pPr>
          </w:p>
        </w:tc>
        <w:tc>
          <w:tcPr>
            <w:tcW w:w="993" w:type="dxa"/>
            <w:noWrap/>
            <w:vAlign w:val="center"/>
          </w:tcPr>
          <w:p w14:paraId="1A193643">
            <w:pPr>
              <w:widowControl/>
              <w:shd w:val="clear" w:color="auto" w:fill="auto"/>
              <w:spacing w:line="360" w:lineRule="auto"/>
              <w:jc w:val="center"/>
              <w:rPr>
                <w:rFonts w:hint="eastAsia" w:ascii="仿宋" w:hAnsi="仿宋" w:eastAsia="仿宋" w:cs="仿宋"/>
                <w:color w:val="auto"/>
                <w:kern w:val="0"/>
                <w:sz w:val="24"/>
                <w:highlight w:val="none"/>
              </w:rPr>
            </w:pPr>
          </w:p>
        </w:tc>
        <w:tc>
          <w:tcPr>
            <w:tcW w:w="1275" w:type="dxa"/>
            <w:noWrap/>
            <w:vAlign w:val="center"/>
          </w:tcPr>
          <w:p w14:paraId="3826EA9E">
            <w:pPr>
              <w:widowControl/>
              <w:shd w:val="clear" w:color="auto" w:fill="auto"/>
              <w:spacing w:line="360" w:lineRule="auto"/>
              <w:jc w:val="center"/>
              <w:rPr>
                <w:rFonts w:hint="eastAsia" w:ascii="仿宋" w:hAnsi="仿宋" w:eastAsia="仿宋" w:cs="仿宋"/>
                <w:color w:val="auto"/>
                <w:kern w:val="0"/>
                <w:sz w:val="24"/>
                <w:highlight w:val="none"/>
              </w:rPr>
            </w:pPr>
          </w:p>
        </w:tc>
        <w:tc>
          <w:tcPr>
            <w:tcW w:w="1134" w:type="dxa"/>
            <w:noWrap w:val="0"/>
            <w:vAlign w:val="top"/>
          </w:tcPr>
          <w:p w14:paraId="13B63E16">
            <w:pPr>
              <w:widowControl/>
              <w:shd w:val="clear" w:color="auto" w:fill="auto"/>
              <w:spacing w:line="360" w:lineRule="auto"/>
              <w:jc w:val="center"/>
              <w:rPr>
                <w:rFonts w:hint="eastAsia" w:ascii="仿宋" w:hAnsi="仿宋" w:eastAsia="仿宋" w:cs="仿宋"/>
                <w:color w:val="auto"/>
                <w:kern w:val="0"/>
                <w:sz w:val="24"/>
                <w:highlight w:val="none"/>
              </w:rPr>
            </w:pPr>
          </w:p>
        </w:tc>
        <w:tc>
          <w:tcPr>
            <w:tcW w:w="1153" w:type="dxa"/>
            <w:noWrap w:val="0"/>
            <w:vAlign w:val="top"/>
          </w:tcPr>
          <w:p w14:paraId="4908AF17">
            <w:pPr>
              <w:widowControl/>
              <w:shd w:val="clear" w:color="auto" w:fill="auto"/>
              <w:spacing w:line="360" w:lineRule="auto"/>
              <w:jc w:val="center"/>
              <w:rPr>
                <w:rFonts w:hint="eastAsia" w:ascii="仿宋" w:hAnsi="仿宋" w:eastAsia="仿宋" w:cs="仿宋"/>
                <w:color w:val="auto"/>
                <w:kern w:val="0"/>
                <w:sz w:val="24"/>
                <w:highlight w:val="none"/>
              </w:rPr>
            </w:pPr>
          </w:p>
        </w:tc>
        <w:tc>
          <w:tcPr>
            <w:tcW w:w="1591" w:type="dxa"/>
            <w:noWrap/>
            <w:vAlign w:val="bottom"/>
          </w:tcPr>
          <w:p w14:paraId="51A31638">
            <w:pPr>
              <w:widowControl/>
              <w:shd w:val="clear" w:color="auto" w:fill="auto"/>
              <w:spacing w:line="360" w:lineRule="auto"/>
              <w:jc w:val="center"/>
              <w:rPr>
                <w:rFonts w:hint="eastAsia" w:ascii="仿宋" w:hAnsi="仿宋" w:eastAsia="仿宋" w:cs="仿宋"/>
                <w:color w:val="auto"/>
                <w:kern w:val="0"/>
                <w:sz w:val="24"/>
                <w:highlight w:val="none"/>
              </w:rPr>
            </w:pPr>
          </w:p>
        </w:tc>
      </w:tr>
    </w:tbl>
    <w:p w14:paraId="188FE465">
      <w:pPr>
        <w:shd w:val="clear" w:color="auto" w:fill="auto"/>
        <w:spacing w:line="360" w:lineRule="auto"/>
        <w:ind w:firstLine="480" w:firstLineChars="200"/>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合同总价款：   元，供货金额累计达到本合同总价款（供货期内且不受供货期限制），即合同终止。</w:t>
      </w:r>
    </w:p>
    <w:p w14:paraId="13405D5F">
      <w:pPr>
        <w:shd w:val="clear" w:color="auto" w:fill="auto"/>
        <w:spacing w:line="360" w:lineRule="auto"/>
        <w:ind w:firstLine="482" w:firstLineChars="20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第三条  购销方式</w:t>
      </w:r>
    </w:p>
    <w:p w14:paraId="77A95EC1">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（一）甲方根据实际医疗需求向乙方发出采购订单采购，乙方收到订单后，按照约定配送洗消剂。</w:t>
      </w:r>
    </w:p>
    <w:p w14:paraId="23988F85">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（二）甲方收到乙方配送的洗消剂产品后，经验收合格后确认入库，并按约定方式及时间向乙方付款。</w:t>
      </w:r>
    </w:p>
    <w:p w14:paraId="566AB24B">
      <w:pPr>
        <w:shd w:val="clear" w:color="auto" w:fill="auto"/>
        <w:spacing w:line="360" w:lineRule="auto"/>
        <w:ind w:firstLine="477" w:firstLineChars="198"/>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第四条  质量要求</w:t>
      </w:r>
    </w:p>
    <w:p w14:paraId="4654854F">
      <w:pPr>
        <w:shd w:val="clear" w:color="auto" w:fill="auto"/>
        <w:spacing w:line="360" w:lineRule="auto"/>
        <w:ind w:firstLine="480" w:firstLineChars="200"/>
        <w:rPr>
          <w:rFonts w:hint="eastAsia" w:ascii="仿宋" w:hAnsi="仿宋" w:eastAsia="仿宋" w:cs="仿宋"/>
          <w:color w:val="auto"/>
          <w:sz w:val="24"/>
          <w:highlight w:val="none"/>
        </w:rPr>
      </w:pPr>
      <w:bookmarkStart w:id="3" w:name="OLE_LINK4"/>
      <w:r>
        <w:rPr>
          <w:rFonts w:hint="eastAsia" w:ascii="仿宋" w:hAnsi="仿宋" w:eastAsia="仿宋" w:cs="仿宋"/>
          <w:color w:val="auto"/>
          <w:sz w:val="24"/>
          <w:highlight w:val="none"/>
        </w:rPr>
        <w:t>（一）乙方按合同交付的医用消毒剂应符合国家规定的医用消毒剂质量标准，并提供生产企业及相应质检部门的检验报告书。</w:t>
      </w:r>
    </w:p>
    <w:p w14:paraId="72F7F677">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二）乙方提供的货物必须是全新、原装、合格正品，完全符合国家规定的质量标准和厂方的标准。货物完好，配件齐全。如乙方提供的产品在使用过程中出现多数过敏现象，如皮肤干裂、红疹等，则甲方有权提前终止合同。</w:t>
      </w:r>
    </w:p>
    <w:p w14:paraId="1E260FAF">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（三）乙方提供的医药消毒剂在有效期内若出现质量问题，乙方应承担相应责任和费用。</w:t>
      </w:r>
    </w:p>
    <w:p w14:paraId="45ECB9CE">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（四）乙方有义务对临近效期6个月、滞销超过6个月、存在质量问题或原包装破损的消毒剂进行退换。乙方应在在收到甲方关于洗消剂退货通知后，应在30个工作日内办理退货，并出具相关退货单据和退货发票。</w:t>
      </w:r>
    </w:p>
    <w:p w14:paraId="486BA91D">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（五）乙方送至医院后的洗消剂有效期原则上不得少于 12 个月。</w:t>
      </w:r>
    </w:p>
    <w:p w14:paraId="75F06400">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（六）乙方应当确保与甲方成交的货物，不存在第三方提出的侵犯其专利权、商标权或保护期、侵犯第三方权利的其他情形。</w:t>
      </w:r>
    </w:p>
    <w:bookmarkEnd w:id="3"/>
    <w:p w14:paraId="7D7EA0C3">
      <w:pPr>
        <w:shd w:val="clear" w:color="auto" w:fill="auto"/>
        <w:spacing w:line="360" w:lineRule="auto"/>
        <w:ind w:firstLine="482" w:firstLineChars="20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第五条 交货方式与配送服务</w:t>
      </w:r>
    </w:p>
    <w:p w14:paraId="7AD7ACB7">
      <w:pPr>
        <w:shd w:val="clear" w:color="auto" w:fill="auto"/>
        <w:spacing w:line="360" w:lineRule="auto"/>
        <w:ind w:firstLine="480" w:firstLineChars="200"/>
        <w:rPr>
          <w:rFonts w:hint="eastAsia" w:ascii="仿宋" w:hAnsi="仿宋" w:eastAsia="仿宋" w:cs="仿宋"/>
          <w:color w:val="auto"/>
          <w:sz w:val="24"/>
          <w:highlight w:val="none"/>
        </w:rPr>
      </w:pPr>
      <w:bookmarkStart w:id="4" w:name="OLE_LINK5"/>
      <w:r>
        <w:rPr>
          <w:rFonts w:hint="eastAsia" w:ascii="仿宋" w:hAnsi="仿宋" w:eastAsia="仿宋" w:cs="仿宋"/>
          <w:color w:val="auto"/>
          <w:sz w:val="24"/>
          <w:highlight w:val="none"/>
        </w:rPr>
        <w:t>（一）乙方必须满足甲方的配送需求，并严格按照采购合同和服务承诺进行配送。</w:t>
      </w:r>
    </w:p>
    <w:p w14:paraId="15FF7C63">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（二）交货方式一般采用现场交货方式。乙方负责将货物运抵甲方收货现场，有关运输和保险的一切费用由乙方承担。</w:t>
      </w:r>
    </w:p>
    <w:p w14:paraId="59A91C0E">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（三）乙方所配送医用消毒剂的产地应该是招标决议中标的产地及品牌(没有明确要求的除外)。</w:t>
      </w:r>
    </w:p>
    <w:p w14:paraId="3169351D">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四）乙方应满足甲方合理的调换医用消毒剂要求，破损、滞销、以及近效期(有效期满前六个月)消毒剂在收到甲方通知后因在7个工作日内做出回应，并在30个工作日内办理退货，并出具相关退货单据和退货发票。</w:t>
      </w:r>
    </w:p>
    <w:p w14:paraId="479FC8C4">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（五）乙方在交货同时应提供正式发票，并注明医用消毒剂名称、生产厂家、规格、单位、批号、数量、价格、金额等项目。</w:t>
      </w:r>
    </w:p>
    <w:p w14:paraId="0A9752DA">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（六）乙方应随医用消毒剂向甲方提供使用说明书、质量标准、技术指导以及甲方所要求的其他相关资料。</w:t>
      </w:r>
    </w:p>
    <w:p w14:paraId="23B94EF5">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（七）乙方在合同期内，若中标产品有政府指导价出台，则合同按就低原则执行。</w:t>
      </w:r>
    </w:p>
    <w:p w14:paraId="24C7F495">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（八））合同期内乙方所配送货物不得高于本项目中标价格，如中标货物其他医疗机构下调价格时，应及时通知甲方，并承担甲方下调库存数量的差价。</w:t>
      </w:r>
    </w:p>
    <w:p w14:paraId="2130E81C">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（九）乙方对其配送货物价格的准确性负全责，如出现乙方配送同种产品价格严重超出同级医院价格，甲方有权中止与乙方的合作关系，并有权追究相关法律及附带经济责任。</w:t>
      </w:r>
    </w:p>
    <w:bookmarkEnd w:id="4"/>
    <w:p w14:paraId="048E7D08">
      <w:pPr>
        <w:shd w:val="clear" w:color="auto" w:fill="auto"/>
        <w:snapToGrid w:val="0"/>
        <w:spacing w:line="360" w:lineRule="auto"/>
        <w:ind w:firstLine="361" w:firstLineChars="150"/>
        <w:contextualSpacing/>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第六条 退换货程序</w:t>
      </w:r>
    </w:p>
    <w:p w14:paraId="5212514B">
      <w:pPr>
        <w:shd w:val="clear" w:color="auto" w:fill="auto"/>
        <w:snapToGrid w:val="0"/>
        <w:spacing w:line="360" w:lineRule="auto"/>
        <w:ind w:firstLine="360" w:firstLineChars="150"/>
        <w:contextualSpacing/>
        <w:rPr>
          <w:rFonts w:hint="eastAsia" w:ascii="仿宋" w:hAnsi="仿宋" w:eastAsia="仿宋" w:cs="仿宋"/>
          <w:color w:val="auto"/>
          <w:sz w:val="24"/>
          <w:highlight w:val="none"/>
        </w:rPr>
      </w:pPr>
      <w:r>
        <w:rPr>
          <w:rFonts w:hint="eastAsia" w:ascii="仿宋" w:hAnsi="仿宋" w:eastAsia="仿宋" w:cs="仿宋"/>
          <w:color w:val="auto"/>
          <w:sz w:val="24"/>
          <w:highlight w:val="none"/>
        </w:rPr>
        <w:t>（一）甲方应定期清查在库洗消剂等产品是否存在近效期、滞销情况，对于近效期和滞销洗消剂，及时以书面形式通知乙方。</w:t>
      </w:r>
    </w:p>
    <w:p w14:paraId="149441A5">
      <w:pPr>
        <w:shd w:val="clear" w:color="auto" w:fill="auto"/>
        <w:snapToGrid w:val="0"/>
        <w:spacing w:line="360" w:lineRule="auto"/>
        <w:ind w:firstLine="360" w:firstLineChars="150"/>
        <w:contextualSpacing/>
        <w:rPr>
          <w:rFonts w:hint="eastAsia" w:ascii="仿宋" w:hAnsi="仿宋" w:eastAsia="仿宋" w:cs="仿宋"/>
          <w:color w:val="auto"/>
          <w:sz w:val="24"/>
          <w:highlight w:val="none"/>
        </w:rPr>
      </w:pPr>
      <w:r>
        <w:rPr>
          <w:rFonts w:hint="eastAsia" w:ascii="仿宋" w:hAnsi="仿宋" w:eastAsia="仿宋" w:cs="仿宋"/>
          <w:color w:val="auto"/>
          <w:sz w:val="24"/>
          <w:highlight w:val="none"/>
        </w:rPr>
        <w:t>（二）乙方在收到甲方关于洗消剂等货物近效期和滞销的退货通知后，应在30个工作日内办理退货，并出具相关退货单据和退货发票。</w:t>
      </w:r>
    </w:p>
    <w:p w14:paraId="40A96171">
      <w:pPr>
        <w:shd w:val="clear" w:color="auto" w:fill="auto"/>
        <w:spacing w:line="360" w:lineRule="auto"/>
        <w:ind w:firstLine="477" w:firstLineChars="198"/>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第七条 包装标准</w:t>
      </w:r>
    </w:p>
    <w:p w14:paraId="20EF4A28">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（一）除非对包装另有规定，乙方提供全部洗消剂应按国家标准保护措施进行包装，防止洗消剂在转运中损坏或变质，确保洗消剂安全无损运抵指定地点。</w:t>
      </w:r>
    </w:p>
    <w:p w14:paraId="26AEDEA9">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（二）包装标记和包装箱内外的单据应符合相关要求，并与医院备案的包装一致。</w:t>
      </w:r>
    </w:p>
    <w:p w14:paraId="5208459E">
      <w:pPr>
        <w:shd w:val="clear" w:color="auto" w:fill="auto"/>
        <w:spacing w:line="360" w:lineRule="auto"/>
        <w:ind w:firstLine="477" w:firstLineChars="198"/>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第八条 检验标准及方法</w:t>
      </w:r>
    </w:p>
    <w:p w14:paraId="7EFD5D66">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一）甲方在接收洗消剂时，应对洗消剂等货物进行验货确认，对不符合质量标准、运储包装要求或合同要求的其他情形时，甲方有权拒绝接收。乙方应按照甲方要求及时更换符合要求的货物，不得影响甲方的临床使用。</w:t>
      </w:r>
    </w:p>
    <w:p w14:paraId="27C81B42">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（二）如果甲方确认需要进行洗消剂产品的质量检验，应以书面形式把质量检验的具体要求通知乙方。乙方收到书面通知后，应当及时配合进行质量检验，应送甲方所在地合法的第三方检验机构。</w:t>
      </w:r>
    </w:p>
    <w:p w14:paraId="7AED235D">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（三）如送检产品确实存在质量问题，检验费用由乙方承担，甲方有权据此单方中止该货物购销合同的履行；如送检洗消剂无质量问题，合同继续履行，检验费用由双方各承担50%。</w:t>
      </w:r>
    </w:p>
    <w:p w14:paraId="3333A5E1">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四）乙方配送的洗消剂如在临床使用过程中发现新的或严重的3人次以上不良反应，甲方应及时通报乙方，并报相关管理部门备案。同时甲方有权单方中止该品规洗消剂采购合同的继续履行，30个工作日内退回剩余洗消剂，由此造成的所有损失由乙方承担。</w:t>
      </w:r>
    </w:p>
    <w:p w14:paraId="74B79F0E">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（四）采购人对不符合质量、有效期、订单数量等要求的消毒剂，有权拒绝接收，中标供应商应对不符合要求的消毒剂在48 小时内进行退换，且不得影响采购人的临床应用。</w:t>
      </w:r>
    </w:p>
    <w:p w14:paraId="1AE64823">
      <w:pPr>
        <w:shd w:val="clear" w:color="auto" w:fill="auto"/>
        <w:spacing w:line="360" w:lineRule="auto"/>
        <w:ind w:firstLine="477" w:firstLineChars="198"/>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第九条  储存和管理</w:t>
      </w:r>
    </w:p>
    <w:p w14:paraId="3F7FDD8B">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一）为保证货物质量，避免造成浪费，甲方应建立并执行洗消剂验收、储存制度，对已购进洗消剂应妥善储存和管理。如因乙方洗消剂质量及其他原因造成的一切损失由乙方承担全部责任；如因甲方库存条件不符合洗消剂储存要求，造成的质量问题，由甲方承担全部责任。</w:t>
      </w:r>
    </w:p>
    <w:p w14:paraId="0F555D7F">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（二）甲方应加强对货物效期管理，定期清查在库货物的有效期，掌握洗消剂情况，及时对近效期货物进行退、换货。甲方应合理采购、使用药洗消剂，由于甲方管理不善造成的近效期洗消剂，不得向乙方退货。</w:t>
      </w:r>
    </w:p>
    <w:p w14:paraId="74FDE531">
      <w:pPr>
        <w:shd w:val="clear" w:color="auto" w:fill="auto"/>
        <w:spacing w:line="360" w:lineRule="auto"/>
        <w:ind w:firstLine="477" w:firstLineChars="198"/>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第十条  交货时间及地点</w:t>
      </w:r>
    </w:p>
    <w:p w14:paraId="71099256">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（一）</w:t>
      </w:r>
      <w:bookmarkStart w:id="5" w:name="OLE_LINK6"/>
      <w:r>
        <w:rPr>
          <w:rFonts w:hint="eastAsia" w:ascii="仿宋" w:hAnsi="仿宋" w:eastAsia="仿宋" w:cs="仿宋"/>
          <w:color w:val="auto"/>
          <w:sz w:val="24"/>
          <w:highlight w:val="none"/>
        </w:rPr>
        <w:t>乙方应按照甲方采购订单和数量按要求配送至指定地点。一般供货时间不超过 48 小时，节假日照常供货。如遇急、抢救等突发状况，需在4小时内送达。如因市场短缺无法在规定时间内送货的，应提前5个工作日书面告知甲方并说明原因。</w:t>
      </w:r>
      <w:bookmarkEnd w:id="5"/>
    </w:p>
    <w:p w14:paraId="4E1386CB">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（二）交货地点：由甲方指定验收地点。</w:t>
      </w:r>
    </w:p>
    <w:p w14:paraId="35E4C686">
      <w:pPr>
        <w:shd w:val="clear" w:color="auto" w:fill="auto"/>
        <w:spacing w:line="360" w:lineRule="auto"/>
        <w:ind w:firstLine="477" w:firstLineChars="198"/>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第十一条  结算方式及时间</w:t>
      </w:r>
    </w:p>
    <w:p w14:paraId="1BF27392">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（一）乙方应及时按有关要求向甲方提交对已交易洗消剂的发票等相关单据，以及合同规定的其他义务已经履行的证明，做到票货同行。</w:t>
      </w:r>
    </w:p>
    <w:p w14:paraId="1BCE1647">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（二）乙方向甲方提供的发票和有关单据不得违反国家税务机关等相关部门的规定，否则甲方有权拒付相应货款，乙方承担由此给甲方带来的一切损失。</w:t>
      </w:r>
    </w:p>
    <w:p w14:paraId="12A1823A">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（三）</w:t>
      </w:r>
      <w:bookmarkStart w:id="6" w:name="OLE_LINK3"/>
      <w:r>
        <w:rPr>
          <w:rFonts w:hint="eastAsia" w:ascii="仿宋" w:hAnsi="仿宋" w:eastAsia="仿宋" w:cs="仿宋"/>
          <w:color w:val="auto"/>
          <w:sz w:val="24"/>
          <w:highlight w:val="none"/>
        </w:rPr>
        <w:t xml:space="preserve">甲方验货确认后，核对交易单据及明细无误后，在验收入库之日起60日内结清货款；结算方式由甲方与乙方协商约定。 </w:t>
      </w:r>
      <w:bookmarkEnd w:id="6"/>
      <w:bookmarkStart w:id="7" w:name="_GoBack"/>
      <w:bookmarkEnd w:id="7"/>
    </w:p>
    <w:p w14:paraId="0A5486DD">
      <w:pPr>
        <w:shd w:val="clear" w:color="auto" w:fill="auto"/>
        <w:spacing w:line="360" w:lineRule="auto"/>
        <w:ind w:firstLine="477" w:firstLineChars="198"/>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第十二条  合同解除条件及处理方式</w:t>
      </w:r>
    </w:p>
    <w:p w14:paraId="74F4D7DF">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（一）违约终止合同</w:t>
      </w:r>
    </w:p>
    <w:p w14:paraId="39887D01">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发生下列情况，甲方可向乙方发出书面通知书，提出部分或全部终止合同。</w:t>
      </w:r>
    </w:p>
    <w:p w14:paraId="408D1810">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 乙方未能在合同规定的限期或甲方同意延长的限期内提供部分或全部货物；</w:t>
      </w:r>
    </w:p>
    <w:p w14:paraId="4BF2954E">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 乙方未能履行合同规定的全部义务；</w:t>
      </w:r>
    </w:p>
    <w:p w14:paraId="13C4480C">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 乙方在本合同的实施过程中有违法、违规行为。</w:t>
      </w:r>
    </w:p>
    <w:p w14:paraId="3AA27630">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 乙方破产的，甲方可在任何时候以书面形式通知乙方，提出解除合同而不给乙方补偿。该解除合同将不损害或影响甲方已经采取或将要采取的任何行动或补救措施的权利。</w:t>
      </w:r>
    </w:p>
    <w:p w14:paraId="57213973">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 甲方根据上述规定，终止了全部或部分合同后，有权要求乙方继续执行合同未终止的部分。</w:t>
      </w:r>
    </w:p>
    <w:p w14:paraId="55E6AD3B">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 甲方所供应洗消剂出现三次以上断货时，甲方有权单方面终止合同或取消下一年续签合同。</w:t>
      </w:r>
    </w:p>
    <w:p w14:paraId="642440E7">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 未按合同要求提供货物或质量不能满足招标文件技术要求，在约定的条件下，甲方必须无条件更换，提高技术，完善质量，否则，甲方有权解除合同。</w:t>
      </w:r>
    </w:p>
    <w:p w14:paraId="2B880305">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8. 乙方如有调换产品，减低产品等级标准或提供存在质量缺陷产品，以劣充优，以假充真等违约行为的，一经查实，甲方有权解除合同。</w:t>
      </w:r>
    </w:p>
    <w:p w14:paraId="06AD9FAA">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（二）违约责任</w:t>
      </w:r>
    </w:p>
    <w:p w14:paraId="36278AAA">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 甲方有下列行为时应承担违约责任，甲方按国家有关法律规定向乙方支付违约金，违约金由双方约定。</w:t>
      </w:r>
    </w:p>
    <w:p w14:paraId="665DE4E3">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（1）甲方无故不验收订单货物的；</w:t>
      </w:r>
    </w:p>
    <w:p w14:paraId="093B4D76">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（2）甲方不按合同项目约定，无故拖延货款支付的。</w:t>
      </w:r>
    </w:p>
    <w:p w14:paraId="48BD8F35">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 乙方有下列行为时应承担违约责任</w:t>
      </w:r>
    </w:p>
    <w:p w14:paraId="73F5394B">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乙方无正当理由拖延交货、没有按照合同规定时间配送货物、没有按合同规定所供应货物高出陕西省内其他医疗机构价格，未按要求履行货物配送过程中的其他伴随服务，应向甲方支付违约金或被终止合同。</w:t>
      </w:r>
    </w:p>
    <w:p w14:paraId="73913A08">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（2）违约金按已发生全部费用的30%计算，不足以弥补甲方损失的，乙方另行补足。</w:t>
      </w:r>
    </w:p>
    <w:p w14:paraId="42FB7C8F">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（3）乙方在支付违约金后，还应当履行应尽的交货义务。</w:t>
      </w:r>
    </w:p>
    <w:p w14:paraId="5366C246">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（三）不可抗力违约的约定</w:t>
      </w:r>
    </w:p>
    <w:p w14:paraId="25C09542">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（1）本条所述的“不可抗力”是指受影响方无法控制、不可预见的事件，包括战争、严重火灾、洪水、台风、地震及其他三方认可的事件，不包括故意违约或疏忽。</w:t>
      </w:r>
    </w:p>
    <w:p w14:paraId="0C2BD058">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在不可抗力事件发生后，受影响方应尽快以书面形式将不可抗力情况和原因通知甲方。受影响方应尽实际可能继续履行合同义务，以及寻求采取合理的方案履行不受不可抗力影响的其他事项。不可抗力事件影响消除后，可通过协商在合理的时间内达成进一步履行合同的协议。</w:t>
      </w:r>
    </w:p>
    <w:p w14:paraId="247F1CA0">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在履行合同过程中，如果乙方因不可抗力造成不能按时配送货物和提供相应伴随服务情况时，应及时以书面形式将延迟的事实、可能延迟的时间和原因通知甲方。甲方在收到乙方通知后，应尽快核实情况，并由甲方确定是否酌情延长交货时间，以及是否收取违约金或终止合同，甲方可根据实际情况选择其他供应商配送相应洗消剂。</w:t>
      </w:r>
    </w:p>
    <w:p w14:paraId="781C2A78">
      <w:pPr>
        <w:shd w:val="clear" w:color="auto" w:fill="auto"/>
        <w:spacing w:line="360" w:lineRule="auto"/>
        <w:ind w:firstLine="482" w:firstLineChars="20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 xml:space="preserve">第十二条 其它约定事项 </w:t>
      </w:r>
    </w:p>
    <w:p w14:paraId="1B879C99">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（一）该项目原则上一次招标1年，合同每年一签，自双方签字盖章之日起生效。</w:t>
      </w:r>
    </w:p>
    <w:p w14:paraId="29A9CCDA">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（二）如果国家有关部门调整洗消剂价格，入围洗消剂价格按有关规定执行。由此造成的损失由乙方承担。</w:t>
      </w:r>
    </w:p>
    <w:p w14:paraId="6F4BD2DA">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三）乙方所供应洗消剂因停产、目录调整、产品技术更新等原因无法供货的，乙方须提前一个月书面通知甲方并提供解决方案。需调整洗消剂的必须经甲方同意后才能调整，所调整洗消剂必需与原中标洗消剂包装材料和规格一致或更优，供应价格不得高于原中标价格。若乙方无可替换产品时，甲方有权终止合同或从其他供应商采购，必要时可选择本次招标评分排名第二的投标人供应。</w:t>
      </w:r>
    </w:p>
    <w:p w14:paraId="6F28674E">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（四）其他义务</w:t>
      </w:r>
    </w:p>
    <w:p w14:paraId="6D15B1B9">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 甲方应免费提供并安装与中标品种相同配套的浓度测试卡、挂架、自动出液器、抽纸盒、自动出纸器等设施设备，并满足日常所需。</w:t>
      </w:r>
    </w:p>
    <w:p w14:paraId="0A4F5712">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 货物安装、调试、验收合格后，乙方应对甲方的相关人员进行免费现场培训。培训内容包括使用说明、使用方法、注意事项等。</w:t>
      </w:r>
    </w:p>
    <w:p w14:paraId="641F2B9D">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3、伴随服务</w:t>
      </w:r>
    </w:p>
    <w:p w14:paraId="2F41AA4C">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（1）现场搬运（必要时运输至各药房和临床诊疗科室）或入库；</w:t>
      </w:r>
    </w:p>
    <w:p w14:paraId="6184F295">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（2）提供运输、开箱、分装和摆放用具；</w:t>
      </w:r>
    </w:p>
    <w:p w14:paraId="13DB43D9">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（3）对开箱和使用时发现的破损、近失效期洗消剂或其他不合格包装洗消剂及时退换；</w:t>
      </w:r>
    </w:p>
    <w:p w14:paraId="3F3FE3DC">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（4）积极配合甲方做好临床出现不良反应洗消剂的退换货及后续服务工</w:t>
      </w:r>
    </w:p>
    <w:p w14:paraId="326F5F2F">
      <w:pPr>
        <w:shd w:val="clear" w:color="auto" w:fill="auto"/>
        <w:tabs>
          <w:tab w:val="left" w:pos="5245"/>
        </w:tabs>
        <w:spacing w:line="360" w:lineRule="auto"/>
        <w:ind w:firstLine="482" w:firstLineChars="200"/>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第十三条 甲乙双方在洗消剂采购、配送、结算过程中，必须严格遵守国家法律、法规和有关反商业贿赂的规定，自觉服从行政管理部门的监督管理</w:t>
      </w:r>
      <w:r>
        <w:rPr>
          <w:rFonts w:hint="eastAsia" w:ascii="仿宋" w:hAnsi="仿宋" w:eastAsia="仿宋" w:cs="仿宋"/>
          <w:color w:val="auto"/>
          <w:sz w:val="24"/>
          <w:highlight w:val="none"/>
        </w:rPr>
        <w:t>。</w:t>
      </w:r>
    </w:p>
    <w:p w14:paraId="7E2D8DD9">
      <w:pPr>
        <w:shd w:val="clear" w:color="auto" w:fill="auto"/>
        <w:spacing w:line="360" w:lineRule="auto"/>
        <w:ind w:firstLine="482" w:firstLineChars="200"/>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第十四条 除本合同的约定外，本合同未尽事项，可由双方另行协商并签订补充协议，补充协议成为本合同不可分割的一部分，补充协议与本合同具有同等法律效力。</w:t>
      </w:r>
    </w:p>
    <w:p w14:paraId="4C993E05">
      <w:pPr>
        <w:shd w:val="clear" w:color="auto" w:fill="auto"/>
        <w:spacing w:line="360" w:lineRule="auto"/>
        <w:ind w:firstLine="482" w:firstLineChars="200"/>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第十五条 本合同一式四份，具有相同法律效力,甲方持三份，乙方执一份。</w:t>
      </w:r>
    </w:p>
    <w:p w14:paraId="7E031EF7">
      <w:pPr>
        <w:shd w:val="clear" w:color="auto" w:fill="auto"/>
        <w:spacing w:line="360" w:lineRule="auto"/>
        <w:ind w:firstLine="482" w:firstLineChars="200"/>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第十六条 本合同自双方签字盖章后生效。</w:t>
      </w:r>
    </w:p>
    <w:p w14:paraId="0BE818F1">
      <w:pPr>
        <w:shd w:val="clear" w:color="auto" w:fill="auto"/>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color w:val="auto"/>
          <w:sz w:val="24"/>
          <w:highlight w:val="none"/>
        </w:rPr>
        <w:t>甲方：</w:t>
      </w:r>
      <w:r>
        <w:rPr>
          <w:rFonts w:hint="eastAsia" w:ascii="仿宋" w:hAnsi="仿宋" w:eastAsia="仿宋" w:cs="仿宋"/>
          <w:bCs/>
          <w:color w:val="auto"/>
          <w:sz w:val="24"/>
          <w:highlight w:val="none"/>
        </w:rPr>
        <w:t xml:space="preserve">西安市第三医院                  乙方：      </w:t>
      </w:r>
    </w:p>
    <w:p w14:paraId="73C45F3D">
      <w:pPr>
        <w:shd w:val="clear" w:color="auto" w:fill="auto"/>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 xml:space="preserve">地址：陕西省西安市凤城三路东段10号   地址：     </w:t>
      </w:r>
    </w:p>
    <w:p w14:paraId="73BF1B02">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bCs/>
          <w:color w:val="auto"/>
          <w:sz w:val="24"/>
          <w:highlight w:val="none"/>
        </w:rPr>
        <w:t xml:space="preserve">电话：029-61816420 </w:t>
      </w:r>
      <w:r>
        <w:rPr>
          <w:rFonts w:hint="eastAsia" w:ascii="仿宋" w:hAnsi="仿宋" w:eastAsia="仿宋" w:cs="仿宋"/>
          <w:color w:val="auto"/>
          <w:sz w:val="24"/>
          <w:highlight w:val="none"/>
        </w:rPr>
        <w:t xml:space="preserve">                   电话：     </w:t>
      </w:r>
    </w:p>
    <w:p w14:paraId="69F2F961">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法定代表人：                          法定代表人：  </w:t>
      </w:r>
    </w:p>
    <w:p w14:paraId="5BCE8AF4">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委托代理人：               委托代理人：  </w:t>
      </w:r>
    </w:p>
    <w:p w14:paraId="6D896C79">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盖章：                     盖章：      </w:t>
      </w:r>
    </w:p>
    <w:p w14:paraId="3F455A96">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日期：     年  月  日      日期：     年  月  日</w:t>
      </w:r>
    </w:p>
    <w:p w14:paraId="706DCCEB">
      <w:pPr>
        <w:shd w:val="clear" w:color="auto" w:fill="auto"/>
        <w:spacing w:line="360" w:lineRule="auto"/>
        <w:rPr>
          <w:rFonts w:hint="eastAsia" w:ascii="仿宋" w:hAnsi="仿宋" w:eastAsia="仿宋" w:cs="仿宋"/>
          <w:color w:val="auto"/>
          <w:sz w:val="24"/>
          <w:highlight w:val="none"/>
        </w:rPr>
      </w:pPr>
    </w:p>
    <w:p w14:paraId="70633ABA">
      <w:pPr>
        <w:shd w:val="clear"/>
        <w:rPr>
          <w:color w:val="auto"/>
          <w:highlight w:val="none"/>
        </w:rPr>
      </w:pPr>
    </w:p>
    <w:sectPr>
      <w:pgSz w:w="11906" w:h="16838"/>
      <w:pgMar w:top="1440" w:right="1486" w:bottom="1318" w:left="13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00000000"/>
    <w:rsid w:val="0D281998"/>
    <w:rsid w:val="0F876A2A"/>
    <w:rsid w:val="12FD14DE"/>
    <w:rsid w:val="1FC814F4"/>
    <w:rsid w:val="31C3610C"/>
    <w:rsid w:val="3821332E"/>
    <w:rsid w:val="3BCC352B"/>
    <w:rsid w:val="3D9C4805"/>
    <w:rsid w:val="3DA71B32"/>
    <w:rsid w:val="41037F0F"/>
    <w:rsid w:val="417D58F0"/>
    <w:rsid w:val="44AD06F3"/>
    <w:rsid w:val="5F1F71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0"/>
    <w:qFormat/>
    <w:uiPriority w:val="0"/>
    <w:pPr>
      <w:keepNext/>
      <w:keepLines/>
      <w:autoSpaceDE w:val="0"/>
      <w:autoSpaceDN w:val="0"/>
      <w:adjustRightInd w:val="0"/>
      <w:spacing w:before="240" w:after="120" w:line="300" w:lineRule="auto"/>
      <w:jc w:val="center"/>
      <w:outlineLvl w:val="0"/>
    </w:pPr>
    <w:rPr>
      <w:rFonts w:ascii="宋体" w:hAnsi="Times New Roman"/>
      <w:kern w:val="44"/>
      <w:szCs w:val="20"/>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4">
    <w:name w:val="Body Text"/>
    <w:basedOn w:val="1"/>
    <w:next w:val="1"/>
    <w:qFormat/>
    <w:uiPriority w:val="0"/>
    <w:pPr>
      <w:tabs>
        <w:tab w:val="left" w:pos="567"/>
      </w:tabs>
      <w:spacing w:before="120" w:line="22" w:lineRule="atLeast"/>
    </w:pPr>
    <w:rPr>
      <w:rFonts w:ascii="宋体" w:hAnsi="宋体"/>
      <w:sz w:val="24"/>
    </w:rPr>
  </w:style>
  <w:style w:type="paragraph" w:styleId="5">
    <w:name w:val="List 2"/>
    <w:basedOn w:val="1"/>
    <w:qFormat/>
    <w:uiPriority w:val="0"/>
    <w:pPr>
      <w:ind w:left="100" w:leftChars="200" w:hanging="200" w:hangingChars="200"/>
      <w:contextualSpacing/>
    </w:pPr>
  </w:style>
  <w:style w:type="paragraph" w:styleId="6">
    <w:name w:val="Title"/>
    <w:basedOn w:val="5"/>
    <w:next w:val="1"/>
    <w:qFormat/>
    <w:uiPriority w:val="0"/>
    <w:pPr>
      <w:spacing w:before="240" w:after="60"/>
      <w:jc w:val="center"/>
      <w:outlineLvl w:val="0"/>
    </w:pPr>
    <w:rPr>
      <w:rFonts w:ascii="Cambria" w:hAnsi="Cambria"/>
      <w:b/>
      <w:bCs/>
      <w:sz w:val="32"/>
      <w:szCs w:val="32"/>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标题 1 字符"/>
    <w:link w:val="2"/>
    <w:qFormat/>
    <w:uiPriority w:val="0"/>
    <w:rPr>
      <w:rFonts w:ascii="宋体" w:hAnsi="Times New Roman"/>
      <w:kern w:val="44"/>
      <w:szCs w:val="20"/>
    </w:r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styleId="12">
    <w:name w:val="List Paragraph"/>
    <w:basedOn w:val="1"/>
    <w:qFormat/>
    <w:uiPriority w:val="34"/>
    <w:pPr>
      <w:widowControl/>
      <w:ind w:firstLine="420" w:firstLineChars="200"/>
      <w:jc w:val="left"/>
    </w:pPr>
    <w:rPr>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4565</Words>
  <Characters>4620</Characters>
  <Lines>0</Lines>
  <Paragraphs>0</Paragraphs>
  <TotalTime>0</TotalTime>
  <ScaleCrop>false</ScaleCrop>
  <LinksUpToDate>false</LinksUpToDate>
  <CharactersWithSpaces>4875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2024-08-21T09:32:00Z</dcterms:created>
  <dc:creator>HP</dc:creator>
  <cp:lastModifiedBy>WPS_1526284077</cp:lastModifiedBy>
  <dcterms:modified xsi:type="dcterms:W3CDTF">2026-01-23T06:37:09Z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623A60DD30404033A49732512D142669_12</vt:lpwstr>
  </property>
  <property fmtid="{D5CDD505-2E9C-101B-9397-08002B2CF9AE}" pid="4" name="KSOTemplateDocerSaveRecord">
    <vt:lpwstr>eyJoZGlkIjoiN2M0NTdjYmM1YjY4OGU5YTNhODc4MDEyNDYzOWU1MWQiLCJ1c2VySWQiOiIzNzA0MjM3MzgifQ==</vt:lpwstr>
  </property>
</Properties>
</file>