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版本号：0617-2624HZ073020260330001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病理类医疗设备采购项目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0617-2624HZ0730</w:t>
      </w:r>
      <w:r>
        <w:br/>
      </w:r>
      <w:r>
        <w:br/>
      </w:r>
      <w:r>
        <w:br/>
      </w:r>
    </w:p>
    <w:p>
      <w:pPr>
        <w:pStyle w:val="null3"/>
        <w:jc w:val="center"/>
        <w:outlineLvl w:val="2"/>
      </w:pPr>
      <w:r>
        <w:rPr>
          <w:rFonts w:ascii="仿宋_GB2312" w:hAnsi="仿宋_GB2312" w:cs="仿宋_GB2312" w:eastAsia="仿宋_GB2312"/>
          <w:sz w:val="28"/>
          <w:b/>
        </w:rPr>
        <w:t>西安市人民医院（西安市第四医院）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病理类医疗设备采购项目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0617-2624HZ0730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病理类医疗设备采购项目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西安市人民医院（西安市第四医院）是一所公立三级甲等综合医院，医院分为大差市和航天城两个院区,总占地面积204.7亩,其中大差市院区31.4亩，航天城院区 173.3 亩。西安市人民医院（西安市第四医院）病理诊断中心成立于1964年属于实验医学部，现为西北大学附属人民医院病理诊断中心，于2024年成功获批西安市临床重点专科建设项目。年均完成活检病例近4万例，细胞学诊断约3万例，分子病理检测逾2000例，科室现有免疫组化机2台，故申请增加购置免疫组化机1台，全自动免疫组化染色机1台；现有工作人员25名，生物显微镜作为病理诊断所用基础设备，现有显微镜约15台，无法满足日常病理诊断需要，故申请生物显微镜3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1、法定代表人或被授权人参加：被授权代表参与的提供法定代表人授权书；法定代表人直接参与的提供法定代表人身份证明。</w:t>
      </w:r>
    </w:p>
    <w:p>
      <w:pPr>
        <w:pStyle w:val="null3"/>
      </w:pPr>
      <w:r>
        <w:rPr>
          <w:rFonts w:ascii="仿宋_GB2312" w:hAnsi="仿宋_GB2312" w:cs="仿宋_GB2312" w:eastAsia="仿宋_GB2312"/>
        </w:rPr>
        <w:t>2、医疗器械经营许可证或备案证：医疗器械经营许可证或备案证</w:t>
      </w:r>
    </w:p>
    <w:p>
      <w:pPr>
        <w:pStyle w:val="null3"/>
      </w:pPr>
      <w:r>
        <w:rPr>
          <w:rFonts w:ascii="仿宋_GB2312" w:hAnsi="仿宋_GB2312" w:cs="仿宋_GB2312" w:eastAsia="仿宋_GB2312"/>
        </w:rPr>
        <w:t>3、属于医疗器械管理范围的产品需提供医疗器械注册证或备案凭证：属于医疗器械管理范围的产品需提供医疗器械注册证或备案凭证</w:t>
      </w:r>
    </w:p>
    <w:p>
      <w:pPr>
        <w:pStyle w:val="null3"/>
      </w:pPr>
      <w:r>
        <w:rPr>
          <w:rFonts w:ascii="仿宋_GB2312" w:hAnsi="仿宋_GB2312" w:cs="仿宋_GB2312" w:eastAsia="仿宋_GB2312"/>
        </w:rPr>
        <w:t>4、信用信息查询：在“信用中国”网站（www.creditchina.gov.cn）和“中国政府采购网”（www.ccgp.gov.cn）对供应商信用信息进行查询，如果供应商被查实在投标截止时间前已列入失信被执行人、重大税收违法失信主体名单、政府采购严重违法失信行为记录名单，其响应为无效。</w:t>
      </w:r>
    </w:p>
    <w:p>
      <w:pPr>
        <w:pStyle w:val="null3"/>
      </w:pPr>
      <w:r>
        <w:rPr>
          <w:rFonts w:ascii="仿宋_GB2312" w:hAnsi="仿宋_GB2312" w:cs="仿宋_GB2312" w:eastAsia="仿宋_GB2312"/>
        </w:rPr>
        <w:t>5、本项目不接受联合体投标：本项目不接受联合体投标，提供声明文件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029-61199741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任晓洁、李瑞、周小方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10%收取。成交供应商在领取成交通知书前，须向采购代理机构一次性支付代理服务费。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西安市人民医院（西安市第四医院）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1、按照合同约定时间，按院方指定地点提供货物，配合验收工作，并负责安装、调试、提供现场技术培训，保证使用人员正常操作设备的各种功能。 2、由供应商负责，运杂费已包含在合同总价内，包括从货物供应地点所含的运输费、装卸费、仓储费、保险费等。 3、定期派技术人员到现场走访，给予检查维护，一年不少于2次。 4、供应商应终身免费提供维护手册、维修手册、软件备份、故障代码表、备件清单、零部件、维修密码等维护维修必需的材料和信息。</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西安市人民医院（西安市第四医院）是一所公立三级甲等综合医院，医院分为大差市和航天城两个院区,总占地面积204.7亩,其中大差市院区31.4亩，航天城院区 173.3 亩。西安市人民医院（西安市第四医院）病理诊断中心成立于1964年属于实验医学部，现为西北大学附属人民医院病理诊断中心，于2024年成功获批西安市临床重点专科建设项目。年均完成活检病例近4万例，细胞学诊断约3万例，分子病理检测逾2000例，科室现有免疫组化机2台，故申请增加购置免疫组化机1台，全自动免疫组化染色机1台；现有工作人员25名，生物显微镜作为病理诊断所用基础设备，现有显微镜约15台，无法满足日常病理诊断需要，故申请生物显微镜3台。</w:t>
      </w:r>
    </w:p>
    <w:p>
      <w:pPr>
        <w:pStyle w:val="null3"/>
        <w:numPr>
          <w:ilvl w:val="0"/>
          <w:numId w:val="1"/>
        </w:numPr>
        <w:jc w:val="both"/>
      </w:pPr>
      <w:r>
        <w:rPr>
          <w:rFonts w:ascii="仿宋_GB2312" w:hAnsi="仿宋_GB2312" w:cs="仿宋_GB2312" w:eastAsia="仿宋_GB2312"/>
        </w:rPr>
        <w:t xml:space="preserve">采购内容及数量   </w:t>
      </w:r>
    </w:p>
    <w:tbl>
      <w:tblPr>
        <w:tblW w:w="0" w:type="auto"/>
        <w:tblBorders>
          <w:top w:val="none" w:color="000000" w:sz="4"/>
          <w:left w:val="none" w:color="000000" w:sz="4"/>
          <w:bottom w:val="none" w:color="000000" w:sz="4"/>
          <w:right w:val="none" w:color="000000" w:sz="4"/>
          <w:insideH w:val="none"/>
          <w:insideV w:val="none"/>
        </w:tblBorders>
      </w:tblPr>
      <w:tblGrid>
        <w:gridCol w:w="502"/>
        <w:gridCol w:w="2755"/>
        <w:gridCol w:w="1112"/>
        <w:gridCol w:w="1357"/>
        <w:gridCol w:w="1357"/>
        <w:gridCol w:w="1167"/>
      </w:tblGrid>
      <w:tr>
        <w:tc>
          <w:tcPr>
            <w:tcW w:type="dxa" w:w="50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品目</w:t>
            </w:r>
          </w:p>
        </w:tc>
        <w:tc>
          <w:tcPr>
            <w:tcW w:type="dxa" w:w="27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分项名称</w:t>
            </w:r>
          </w:p>
        </w:tc>
        <w:tc>
          <w:tcPr>
            <w:tcW w:type="dxa" w:w="111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采购数量</w:t>
            </w:r>
          </w:p>
        </w:tc>
        <w:tc>
          <w:tcPr>
            <w:tcW w:type="dxa" w:w="135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采购预算</w:t>
            </w:r>
          </w:p>
          <w:p>
            <w:pPr>
              <w:pStyle w:val="null3"/>
            </w:pPr>
            <w:r>
              <w:rPr>
                <w:rFonts w:ascii="仿宋_GB2312" w:hAnsi="仿宋_GB2312" w:cs="仿宋_GB2312" w:eastAsia="仿宋_GB2312"/>
                <w:sz w:val="19"/>
              </w:rPr>
              <w:t>（万元）</w:t>
            </w:r>
          </w:p>
        </w:tc>
        <w:tc>
          <w:tcPr>
            <w:tcW w:type="dxa" w:w="135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最高限价</w:t>
            </w:r>
          </w:p>
          <w:p>
            <w:pPr>
              <w:pStyle w:val="null3"/>
            </w:pPr>
            <w:r>
              <w:rPr>
                <w:rFonts w:ascii="仿宋_GB2312" w:hAnsi="仿宋_GB2312" w:cs="仿宋_GB2312" w:eastAsia="仿宋_GB2312"/>
                <w:sz w:val="19"/>
              </w:rPr>
              <w:t>（万元）</w:t>
            </w:r>
          </w:p>
        </w:tc>
        <w:tc>
          <w:tcPr>
            <w:tcW w:type="dxa" w:w="116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备注</w:t>
            </w:r>
          </w:p>
        </w:tc>
      </w:tr>
      <w:tr>
        <w:tc>
          <w:tcPr>
            <w:tcW w:type="dxa" w:w="50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一</w:t>
            </w:r>
          </w:p>
        </w:tc>
        <w:tc>
          <w:tcPr>
            <w:tcW w:type="dxa" w:w="27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免疫组化机</w:t>
            </w:r>
          </w:p>
        </w:tc>
        <w:tc>
          <w:tcPr>
            <w:tcW w:type="dxa" w:w="11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1套</w:t>
            </w:r>
          </w:p>
        </w:tc>
        <w:tc>
          <w:tcPr>
            <w:tcW w:type="dxa" w:w="13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55</w:t>
            </w:r>
          </w:p>
        </w:tc>
        <w:tc>
          <w:tcPr>
            <w:tcW w:type="dxa" w:w="13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50</w:t>
            </w:r>
          </w:p>
        </w:tc>
        <w:tc>
          <w:tcPr>
            <w:tcW w:type="dxa" w:w="11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核心产品</w:t>
            </w:r>
          </w:p>
        </w:tc>
      </w:tr>
      <w:tr>
        <w:tc>
          <w:tcPr>
            <w:tcW w:type="dxa" w:w="50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二</w:t>
            </w:r>
          </w:p>
        </w:tc>
        <w:tc>
          <w:tcPr>
            <w:tcW w:type="dxa" w:w="27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全自动免疫组化染色机</w:t>
            </w:r>
          </w:p>
        </w:tc>
        <w:tc>
          <w:tcPr>
            <w:tcW w:type="dxa" w:w="11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1套</w:t>
            </w:r>
          </w:p>
        </w:tc>
        <w:tc>
          <w:tcPr>
            <w:tcW w:type="dxa" w:w="13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30</w:t>
            </w:r>
          </w:p>
        </w:tc>
        <w:tc>
          <w:tcPr>
            <w:tcW w:type="dxa" w:w="13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15</w:t>
            </w:r>
          </w:p>
        </w:tc>
        <w:tc>
          <w:tcPr>
            <w:tcW w:type="dxa" w:w="11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 xml:space="preserve"> </w:t>
            </w:r>
          </w:p>
        </w:tc>
      </w:tr>
      <w:tr>
        <w:tc>
          <w:tcPr>
            <w:tcW w:type="dxa" w:w="50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三</w:t>
            </w:r>
          </w:p>
        </w:tc>
        <w:tc>
          <w:tcPr>
            <w:tcW w:type="dxa" w:w="27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生物显微镜</w:t>
            </w:r>
          </w:p>
        </w:tc>
        <w:tc>
          <w:tcPr>
            <w:tcW w:type="dxa" w:w="111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3套</w:t>
            </w:r>
          </w:p>
        </w:tc>
        <w:tc>
          <w:tcPr>
            <w:tcW w:type="dxa" w:w="13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30</w:t>
            </w:r>
          </w:p>
        </w:tc>
        <w:tc>
          <w:tcPr>
            <w:tcW w:type="dxa" w:w="13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27</w:t>
            </w:r>
          </w:p>
        </w:tc>
        <w:tc>
          <w:tcPr>
            <w:tcW w:type="dxa" w:w="116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pPr>
            <w:r>
              <w:rPr>
                <w:rFonts w:ascii="仿宋_GB2312" w:hAnsi="仿宋_GB2312" w:cs="仿宋_GB2312" w:eastAsia="仿宋_GB2312"/>
                <w:sz w:val="19"/>
              </w:rPr>
              <w:t xml:space="preserve"> </w:t>
            </w: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病理类医疗设备一批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标的名称：病理类医疗设备一批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一、品目1：免疫组化机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1、用于病理分析前样本的染色、抗原修复、脱蜡、原位杂交。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2、全自动免疫组化和原位杂交系统可同时并行工作。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3、在同一台仪器上全自动完成烤片、脱蜡、前处理、免疫组化染色及原位杂交。</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4、具有单张切片免疫组化单染及双染、同一样本切片免疫组化与原位杂交同时标记的功能。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5、原位杂交时间≤5小时。</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6、染色过程中可以随时添加样本或者试剂。</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7、可根据免疫组化检测结果对非小细胞肺癌或乳腺癌或直肠癌等疾病进行指导用药，提供试剂种类≥4种（须具有三类注册证）。</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8、样本通量≥30张。</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9、具有液晶触摸屏。</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10、每张玻片具有独立加热板，修复温度范围0℃-100℃。</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11、具备全自动液位管理监测系统，脱蜡试剂中不含二甲苯。</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12、试剂可均匀覆盖于整张玻片（提供相关证明材料）。</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13、具有条码扫描系统。</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14、模块化结构，具备可升级功能。</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15、具有对切片染色追踪管理功能。</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16、具有质控管理功能。</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17、具有免疫组化双染功能，可实现两个抗体前后反应的顺次双染及同时反应的并行双染。</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18、具有试剂管理系统，可对试剂使用进行监测。</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19、有毒、无毒废液分开收集排放。</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（二）配置要求: 免疫组化机（含UPS）1套</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品目2：全自动免疫组化染色机</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1、用于病理分析前样本脱蜡、抗原修复、染色和原位杂交。</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2、具有同时完成免疫组化与原位杂交的功能。</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3、在同一台设备上完成脱蜡、抗原修复及染色全过程。</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4、样本通量≥60片；试剂位点≥50个。</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5、染色过程中可以随时添加试剂及样本。</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6、具有独立加热的功能，修复温度可以进行调节。</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7、可选多种修复液及多种修复条件。</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8、具有试剂可均匀覆盖于切片上的技术。</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9、内置全自动液路系统，具有液位报警功能。</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10、具备过夜运行的功能。</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11、具有质控管理功能。</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12、有毒和无毒废液分开收集，提供环保脱蜡液。</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13、模块化结构。</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14、触屏操作。</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15、机械臂≥1个。</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16、具有对玻片进行全程追踪管理的功能。</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17、可实现两个抗体前后反应的顺次双染和两个抗体同时反应的并行双染。</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（二）配置要求: 全自动免疫组化染色机1套（配套UPS 1台）</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品目3：生物显微镜</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1、用于对临床样本的显微放大观察。</w:t>
            </w:r>
          </w:p>
        </w:tc>
      </w:tr>
      <w:tr>
        <w:tc>
          <w:tcPr>
            <w:tcW w:type="dxa" w:w="2769"/>
          </w:tcPr>
          <w:p>
            <w:pPr>
              <w:pStyle w:val="null3"/>
            </w:pPr>
            <w:r>
              <w:rPr>
                <w:rFonts w:ascii="仿宋_GB2312" w:hAnsi="仿宋_GB2312" w:cs="仿宋_GB2312" w:eastAsia="仿宋_GB2312"/>
              </w:rPr>
              <w:t>46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2、无限远校正光学系统，齐焦距离≤45mm。</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3、具备粗、微调焦功能。</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4、LED光源，光源寿命≥50000h，配备光强管理系统。</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5、低手位载物台，移动范围≥75mm×50mm。</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6、三目镜筒，视场数≥22mm，倾角≥30°，瞳距调节范围≥50mm-75mm。</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7、10倍宽视野目镜，视场数≥22mm，双目屈光度可调。</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8、编码物镜转换器≥6孔，不同倍数物镜可分别定义光强，切换时自动匹配亮度。</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9、平场消色差物镜：2X或2.5X：N.A≥0.06、4X或5X：N.A≥0.10、10X：N.A≥0.10、20X：N.A≥0.40、40X：N.A≥0.65</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10、聚光镜N.A≥0.9。</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rPr>
              <w:t>11、成像系统像素≥600万。</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rPr>
              <w:t>12、工作站要求：国产芯片≥8核，内存≥8G，固态硬盘≥512G，独立显卡≥2G,国产正版操作系统，液晶显示屏≥23英寸。</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rPr>
              <w:t>（二）配置要求（单台）: 2X或X2.5物镜1个、4X或5X物镜1个、10X、20X、40X物镜各一个、10X目镜2个、三目镜筒1个、数码成像系统1套、工作站1套、测微尺1套</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rPr>
              <w:t>二、接口及数据要求（如有,须明确具体品目）</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rPr>
              <w:t>1. 总价包含系统升级，与我院HIS、LIS、PACS、病理系统等信息系统及集成平台对接，并承担所接系统软件工作站、双向接口、配件及由此产生的所有费用（含高清采集卡、采集盒、视频线、脚踏、手控、交换机等）。</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rPr>
              <w:t>2.设备具有时间同步功能机制。</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rPr>
              <w:t>3.工作站为中文操作系统，保证工作站在连接设备后仍有可用网口。</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rPr>
              <w:t>4.设备具有串口、USB、网口、DICOM端口之一的通讯端口。如通信接口特殊，不在上述范围内，需提供转换为以上4类接口的相应转换头。</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rPr>
              <w:t>三、服务要求（产品伴随的服务或者配套建设要求或应当履行的相关义务）</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rPr>
              <w:t>中标商需完成计量器具的检定或校准工作，按照设备安装场地现场情况，完成场地准备，达到设备正常安装使用要求，提供满足诊疗需求并符合国家对消毒、控感、卫生的要求，其中所产生的所有人工、材料、运输、安装施工、配套设备、设备性能检测等费用均由中标方承担。</w:t>
            </w:r>
          </w:p>
        </w:tc>
      </w:tr>
      <w:tr>
        <w:tc>
          <w:tcPr>
            <w:tcW w:type="dxa" w:w="2769"/>
          </w:tcPr>
          <w:p>
            <w:pPr>
              <w:pStyle w:val="null3"/>
            </w:pPr>
            <w:r>
              <w:rPr>
                <w:rFonts w:ascii="仿宋_GB2312" w:hAnsi="仿宋_GB2312" w:cs="仿宋_GB2312" w:eastAsia="仿宋_GB2312"/>
              </w:rPr>
              <w:t>65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原厂免费保修期为伍年（从验收合格之日起开始计算）,免费提供设备维护、软件升级的技术支持和指导，配合医院完成设备维修、保养、相关工作。免费保修期内，同一主要部件出现质量问题经过两次维修后仍无法正常使用，更换同型号、同规格的全新产品，服务响应时间不超过2小时，对问题较大短期内暂不能解决的，为不影响甲方正常工作，乙方在2日内免费提供替代产品，确保正常运行，由此产生的费用由乙方承担，保修期内确保医用计量器具使用的准确性以及精准性。</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rPr>
              <w:t>操作人员的技术培训时间不得少于一周，提供培训计划。</w:t>
            </w:r>
          </w:p>
        </w:tc>
      </w:tr>
      <w:tr>
        <w:tc>
          <w:tcPr>
            <w:tcW w:type="dxa" w:w="2769"/>
          </w:tcPr>
          <w:p>
            <w:pPr>
              <w:pStyle w:val="null3"/>
            </w:pPr>
            <w:r>
              <w:rPr>
                <w:rFonts w:ascii="仿宋_GB2312" w:hAnsi="仿宋_GB2312" w:cs="仿宋_GB2312" w:eastAsia="仿宋_GB2312"/>
              </w:rPr>
              <w:t>67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提供生产厂家出具的≥5年的质保声明或质保承诺书。</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rPr>
              <w:t>提供近五年内用户名单和相关联系方式。</w:t>
            </w:r>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p>
            <w:pPr>
              <w:pStyle w:val="null3"/>
            </w:pPr>
            <w:r>
              <w:rPr>
                <w:rFonts w:ascii="仿宋_GB2312" w:hAnsi="仿宋_GB2312" w:cs="仿宋_GB2312" w:eastAsia="仿宋_GB2312"/>
              </w:rPr>
              <w:t>四、耗材限价（需通过“陕西药品和医用耗材招采管理系统”进行采购。）</w:t>
            </w:r>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p>
            <w:pPr>
              <w:pStyle w:val="null3"/>
            </w:pPr>
            <w:r>
              <w:rPr>
                <w:rFonts w:ascii="仿宋_GB2312" w:hAnsi="仿宋_GB2312" w:cs="仿宋_GB2312" w:eastAsia="仿宋_GB2312"/>
              </w:rPr>
              <w:t>品目1：免疫组化机 二抗试剂≤55元/人份（包含完成该项目检测涉及的所有耗材及试剂）。</w:t>
            </w:r>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p>
            <w:pPr>
              <w:pStyle w:val="null3"/>
            </w:pPr>
            <w:r>
              <w:rPr>
                <w:rFonts w:ascii="仿宋_GB2312" w:hAnsi="仿宋_GB2312" w:cs="仿宋_GB2312" w:eastAsia="仿宋_GB2312"/>
              </w:rPr>
              <w:t>品目2：全自动免疫组化染色机 二抗试剂≤45元/人份（包含完成该项目检测涉及的所有耗材及试剂）。</w:t>
            </w:r>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p>
            <w:pPr>
              <w:pStyle w:val="null3"/>
            </w:pPr>
            <w:r>
              <w:rPr>
                <w:rFonts w:ascii="仿宋_GB2312" w:hAnsi="仿宋_GB2312" w:cs="仿宋_GB2312" w:eastAsia="仿宋_GB2312"/>
              </w:rPr>
              <w:t>如有： 品目1：免疫组化机 PDL1抗体检测试剂≤500元/人份 ALK抗体检测试剂≤237.5元/人份（包含完成该项目检测涉及的所有耗材及试剂）</w:t>
            </w:r>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pPr>
            <w:r>
              <w:rPr>
                <w:rFonts w:ascii="仿宋_GB2312" w:hAnsi="仿宋_GB2312" w:cs="仿宋_GB2312" w:eastAsia="仿宋_GB2312"/>
                <w:sz w:val="21"/>
              </w:rPr>
              <w:t>耗</w:t>
            </w:r>
            <w:r>
              <w:rPr>
                <w:rFonts w:ascii="仿宋_GB2312" w:hAnsi="仿宋_GB2312" w:cs="仿宋_GB2312" w:eastAsia="仿宋_GB2312"/>
                <w:sz w:val="21"/>
              </w:rPr>
              <w:t>材或试剂限价要求：供应商须承诺配合医院在陕西药品和医用耗材招采管理系统完成阳光采购工作。供应商须承诺满足《病理类医疗设备相关专用配套试剂限价要求》并逐项列明所对应产品注册证名称、型号、规格、生产企业、注册证号及耗材或试剂价格详细响应情况（如≤XX元）；耗材及试剂后期采购应遵循两票制、集中配送、阳光采购等国家医用耗材、试剂相关管理规定及医院管理制度新品入院流程处理；</w:t>
            </w:r>
          </w:p>
          <w:p>
            <w:pPr>
              <w:pStyle w:val="null3"/>
            </w:pPr>
            <w:r>
              <w:rPr>
                <w:rFonts w:ascii="仿宋_GB2312" w:hAnsi="仿宋_GB2312" w:cs="仿宋_GB2312" w:eastAsia="仿宋_GB2312"/>
                <w:sz w:val="21"/>
              </w:rPr>
              <w:t>中标商需配套提供开展检验项目所涉及到的所有质控品、校准品等配套产品。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合同签订后自甲方通知60日内完成全部项目内容，并交付采购人验收合格。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无预付款，所有货物到达甲方指定地点，安装、调试完毕、提供国家或行业标准的合格验收证明以及出具所有设备生产厂家提供的叁年质量保证书等，乙方完成自检合格后，提交甲方进行第一次验收，甲方自第一次验收合格且收到发票之日，达到付款条件起10日内，支付验收合格产品对应金额总价95%。</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货物第一次验收合格满60个月后，进行二次验收，验收合格后达到付款条件起10日内，支付合同总金额的5%。</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有关规定以及院方招标文件的质量要求和技术指标、供应商的投标文件及承诺与本合同约定标准进行验收；双方如对质量要求和技术指标的约定标准有相互抵触或异议的事项，由院方在招标与投标文件中按质量要求和技术指标比较优胜的原则确定该项的约定标准进行验收； 2、验收时如发现所交付的货物有缺项、次品、损坏或其他不符合标准及本合同约定之情形者，院方应做出详尽的现场记录，记录形式包括摄像、拍照、供应商证明人的说明，并由双方签署备忘录，此现场记录或备忘录可用作补充缺失和更换损坏部件和更换符合要求的整机之有效证据，由此产生的时间延误与相关费用由供应商承担，验收期限相应顺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详见具体技术（参数）要求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未按合同要求提供货物或质量不能满足本合同、招标文件、投标文件等相关文件要求的，乙方须在合同约定的交货期内无条件更换合格的货物交付给甲方，若甲方有实际损失的乙方还应赔偿甲方的实际损失。否则，甲方有权解除合同，合同自书面解除通知到达乙方之日起解除，乙方向甲方支付违约金，违约金计算方法：以合同总价为基数，支付甲方合同最高限价的30%违约金；若违约金不足以弥补甲方所受损失，则甲方可以要求乙方赔偿解除合同的全部损失（包括但不限于律师费、重新采购产生的费用、合同未履行导致设备不能按规划交付使用可能产生的租赁费用及其它由此造成的甲方对第三方的违约损失）。同时甲方有权对乙方的违约行为报监管机构进行相应的处罚。 2、乙方逾期交付货物的，除应及时交足货物外，同时向甲方支付逾期交货部分货款总额的百分之一/天的违约金；逾期交货超过10天，甲方有权解除合同，合同自书面解除通知到达乙方之日起解除，乙方则应按合同最高限价的30%向甲方支付违约金，若违约金不足以弥补甲方损失，则甲方可要求乙方赔偿解除合同的全部损失（包括但不限于律师费、重新采购产生的费用、合同未履行导致设备不能按规划交付使用可能产生的租赁费用及其他由此造成的甲方对第三方的违约损失），同时甲方有权将乙方违约事宜上报至财政监督管理部门备案。</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合同其他条款：乙方义务：按照合同约定时间，按甲方指定地点提供货物并确保货物质量，配合验收工作，并负责安装、调试、提供现场技术培训，保证使用人员正常操作设备的各种功能，提供双向免费接口服务；乙方确保通过合法招投标程序，在公平公正的基础上中标本次项目，本项目若经监管部门定性为串通投标等违法情形的，乙方应承担由此产生的一切责任（包括但不限于刑事责任、行政责任、民事赔偿责任等），由此给甲方造成损失的，乙方应当赔偿甲方全部损失。乙方保证货物后期可与甲方各类信息化网络系统双向接口免费对接，即供应商应负责与甲方及甲方信息化网络系统供应商的接口均完成对接，过程中所产生的费用由乙方承担。2.履约验收时间：供应商提出验收申请之日起七日内组织验收。3.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4.根据西安市财政局《关于促进政府采购公平竞争优化营商环境的通知》（市财函[2021]431号）文中“第16条规定 供应商登记免费领取采购文件的，如不参与项目投标，应在递交投标（或相应）文件截止时间前一日以书面形式告知采购代理机构。否则，采购代理机构可以向财政部门反映情况并提供相应的佐证。供应商一年内累计出现三次该情形，将被监管部门记录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提供经审计的2024年度财务报告（包括四表一注，即资产负债表、利润表、现金流量表、所有者权益变动表及其附注）；事业法人提供部门决算报告； /或在开标日期前六个月内其开户银行出具的资信证明； /或财政部门认可的政府采购专业担保机构出具的投标担保函； /或表明具有良好的商业信誉和健全的财务会计制度的诚信声明； 以上四种形式的资料提供任何一种即可。 （三）具有履行合同所必需的设备和专业技术能力。 提供声明文件（格式可参考“诚信声明”）。 （四）具有依法缴纳税收的良好记录。 提供缴费所属日期为投标截止时间前12个月内任一月份（投标截止时间当月不计入）的增值税（或所得税）缴费凭据或税务机关出具的完税证明/在法规范围内不需提供的应出具书面说明和证明文件； /或具有依法缴纳税收的诚信声明； 以上二种形式的资料提供任何一种即可。 （五）具有依法缴纳社会保障资金的良好记录。 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 （六）参加政府采购活动前3年内在经营活动中没有重大违法记录的书面声明；提供声明文件</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法定代表人或被授权人参加</w:t>
            </w:r>
          </w:p>
        </w:tc>
        <w:tc>
          <w:tcPr>
            <w:tcW w:type="dxa" w:w="3322"/>
          </w:tcPr>
          <w:p>
            <w:pPr>
              <w:pStyle w:val="null3"/>
            </w:pPr>
            <w:r>
              <w:rPr>
                <w:rFonts w:ascii="仿宋_GB2312" w:hAnsi="仿宋_GB2312" w:cs="仿宋_GB2312" w:eastAsia="仿宋_GB2312"/>
              </w:rPr>
              <w:t>被授权代表参与的提供法定代表人授权书；法定代表人直接参与的提供法定代表人身份证明。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医疗器械经营许可证或备案证</w:t>
            </w:r>
          </w:p>
        </w:tc>
        <w:tc>
          <w:tcPr>
            <w:tcW w:type="dxa" w:w="3322"/>
          </w:tcPr>
          <w:p>
            <w:pPr>
              <w:pStyle w:val="null3"/>
            </w:pPr>
            <w:r>
              <w:rPr>
                <w:rFonts w:ascii="仿宋_GB2312" w:hAnsi="仿宋_GB2312" w:cs="仿宋_GB2312" w:eastAsia="仿宋_GB2312"/>
              </w:rPr>
              <w:t>医疗器械经营许可证或备案证</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属于医疗器械管理范围的产品需提供医疗器械注册证或备案凭证</w:t>
            </w:r>
          </w:p>
        </w:tc>
        <w:tc>
          <w:tcPr>
            <w:tcW w:type="dxa" w:w="3322"/>
          </w:tcPr>
          <w:p>
            <w:pPr>
              <w:pStyle w:val="null3"/>
            </w:pPr>
            <w:r>
              <w:rPr>
                <w:rFonts w:ascii="仿宋_GB2312" w:hAnsi="仿宋_GB2312" w:cs="仿宋_GB2312" w:eastAsia="仿宋_GB2312"/>
              </w:rPr>
              <w:t>属于医疗器械管理范围的产品需提供医疗器械注册证或备案凭证</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在“信用中国”网站（www.creditchina.gov.cn）和“中国政府采购网”（www.ccgp.gov.cn）对供应商信用信息进行查询，如果供应商被查实在投标截止时间前已列入失信被执行人、重大税收违法失信主体名单、政府采购严重违法失信行为记录名单，其响应为无效。</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本项目不接受联合体投标，提供声明文件</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3.存在下列情形之一的，评审委员会应当启动异常低价投标（响应）审查程序：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w:t>
            </w:r>
          </w:p>
        </w:tc>
        <w:tc>
          <w:tcPr>
            <w:tcW w:type="dxa" w:w="1661"/>
          </w:tcPr>
          <w:p>
            <w:pPr>
              <w:pStyle w:val="null3"/>
            </w:pPr>
            <w:r>
              <w:rPr>
                <w:rFonts w:ascii="仿宋_GB2312" w:hAnsi="仿宋_GB2312" w:cs="仿宋_GB2312" w:eastAsia="仿宋_GB2312"/>
              </w:rPr>
              <w:t>响应文件封面 货物说明一览表 资格证明材料 技术规格响应表 承诺书 标的清单 配置清单 报价表 响应函 商务条款及合同条款偏离表 报价方案说明书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货物说明一览表 资格证明材料 技术规格响应表 承诺书 配置清单 标的清单 报价表 商务条款及合同条款偏离表 响应函 报价方案说明书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1.磋商报价是否超过采购预算； 2.磋商报价是否低于成本价，涉嫌不正当竞争；（如果磋商小组认为某磋商报价明显不合理或者低于成本，应当要求其在规定期限内提供书面文件予以解释说明，并提交相关证明材料。） 3.磋商报价有效期是否符合磋商文件的要求； 4.响应文件内容是否符合国家法律法规，没有重大偏离； 5.对磋商文件中规定的要求是否做出了实质性响应。</w:t>
            </w:r>
          </w:p>
        </w:tc>
        <w:tc>
          <w:tcPr>
            <w:tcW w:type="dxa" w:w="1661"/>
          </w:tcPr>
          <w:p>
            <w:pPr>
              <w:pStyle w:val="null3"/>
            </w:pPr>
            <w:r>
              <w:rPr>
                <w:rFonts w:ascii="仿宋_GB2312" w:hAnsi="仿宋_GB2312" w:cs="仿宋_GB2312" w:eastAsia="仿宋_GB2312"/>
              </w:rPr>
              <w:t>响应文件封面 货物说明一览表 资格证明材料 技术规格响应表 承诺书 标的清单 配置清单 报价表 响应函 商务条款及合同条款偏离表 报价方案说明书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1.技术指标及产品功能全部满足招标文件要求,赋30分； 2.技术要求中的技术指标及产品功能，未标注▲和★的任何一项低于招标要求或不具备，扣1分，不计负分。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报价方案说明书</w:t>
            </w:r>
          </w:p>
          <w:p>
            <w:pPr>
              <w:pStyle w:val="null3"/>
            </w:pPr>
            <w:r>
              <w:rPr>
                <w:rFonts w:ascii="仿宋_GB2312" w:hAnsi="仿宋_GB2312" w:cs="仿宋_GB2312" w:eastAsia="仿宋_GB2312"/>
              </w:rPr>
              <w:t>商务条款及合同条款偏离表</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根据投标人提供的设备选型方案进行评审，该方案包含：①所投产品型号、功能、技术规格等详细信息描述；②根据所投产品品牌与配置清单，设备配置先进、选型科学合理，从配置完整性、性能稳定性、兼容性、行业使用广泛性等方面描述（供应商须提供证明材料，包括但不限于所投设备产品临床使用优势、市场销售情况等）；③确保所投设备供应渠道正常、检验手续合法有效、无产权纠纷（供应商须提供设备的证明材料，包括但不限于授权函、销售协议、代理协议等）。 提供的上述3项内容完整可行得9分；每有一项未提供扣3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商务条款及合同条款偏离表</w:t>
            </w:r>
          </w:p>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报价方案说明书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①供货组织安排，包括仓储、运输、交付、安装、检测、调试等内容；②实施步骤、进度计划和保证措施；③安全控制方案及质量措施；④组织机构人员配置、协调能力等。 以上内容每具备一项得2分，最高得8分，每项中有缺陷扣0.5分，扣完为止。 备注：缺陷是指内容不合理、虽有内容但不完善、内容表述前后矛盾、与项目需求不匹配及其他不利于项目实施的等任意一种情形。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商务条款及合同条款偏离表</w:t>
            </w:r>
          </w:p>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报价方案说明书</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针对本项目提供具体可行的售后服务方案及承诺，包括但不限于①针对本项目的售后服务方案及承诺；②具有建全的售后服务机构、配备专职维修人员；③承诺维修服务具体时限与优惠措施； 以上内容每具备一项得2分，最高得6分，每项中有缺陷扣0.5分，扣完为止。 备注：缺陷是指内容不合理、虽有内容但不完善、内容表述前后矛盾、与项目需求不匹配及其他不利于项目实施的等任意一种情形。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商务条款及合同条款偏离表</w:t>
            </w:r>
          </w:p>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报价方案说明书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供应商提供产品合法来源证明渠道，包括但不限于销售协议、代理协议、原厂授权或承诺书等，提供得3分，未提供或提供不全的不得分。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商务条款及合同条款偏离表</w:t>
            </w:r>
          </w:p>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报价方案说明书</w:t>
            </w:r>
          </w:p>
        </w:tc>
      </w:tr>
      <w:tr>
        <w:tc>
          <w:tcPr>
            <w:tcW w:type="dxa" w:w="831"/>
            <w:vMerge/>
          </w:tcPr>
          <w:p/>
        </w:tc>
        <w:tc>
          <w:tcPr>
            <w:tcW w:type="dxa" w:w="1661"/>
          </w:tcPr>
          <w:p>
            <w:pPr>
              <w:pStyle w:val="null3"/>
            </w:pPr>
            <w:r>
              <w:rPr>
                <w:rFonts w:ascii="仿宋_GB2312" w:hAnsi="仿宋_GB2312" w:cs="仿宋_GB2312" w:eastAsia="仿宋_GB2312"/>
              </w:rPr>
              <w:t>技术支持及培训方案</w:t>
            </w:r>
          </w:p>
        </w:tc>
        <w:tc>
          <w:tcPr>
            <w:tcW w:type="dxa" w:w="2492"/>
          </w:tcPr>
          <w:p>
            <w:pPr>
              <w:pStyle w:val="null3"/>
            </w:pPr>
            <w:r>
              <w:rPr>
                <w:rFonts w:ascii="仿宋_GB2312" w:hAnsi="仿宋_GB2312" w:cs="仿宋_GB2312" w:eastAsia="仿宋_GB2312"/>
              </w:rPr>
              <w:t>供应商提供针对本项目技术支持及培训方案，包括①技术支持方式、技术支持人员配置；②培训内容、培训对象、培训形式及次数、培训考核办法、预期培训效果。 以上内容每具备一项得2分，最高得4分，每项中有缺陷扣0.5分，扣完为止。 备注：缺陷是指内容不合理、虽有内容但不完善、内容表述前后矛盾、与项目需求不匹配及其他不利于项目实施的等任意一种情形。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报价方案说明书</w:t>
            </w:r>
          </w:p>
          <w:p>
            <w:pPr>
              <w:pStyle w:val="null3"/>
            </w:pPr>
            <w:r>
              <w:rPr>
                <w:rFonts w:ascii="仿宋_GB2312" w:hAnsi="仿宋_GB2312" w:cs="仿宋_GB2312" w:eastAsia="仿宋_GB2312"/>
              </w:rPr>
              <w:t>商务条款及合同条款偏离表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提供所投核心产品2023年1月1日至今业绩。每提供1份得1分，最高得5分。（以合同签订日期为准） 备注：业绩证明材料须包含合同关键页（至少包括合同双方、标的、金额、签字盖章页、签订时间），并须同时提供以下任意一项佐证材料：1、与合同金额对应的发票复印件；2、项目验收报告或用户出具的履约完成证明文件。 上述材料应能相互印证，未提供完整佐证材料的业绩将不予认定。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报价方案说明书</w:t>
            </w:r>
          </w:p>
          <w:p>
            <w:pPr>
              <w:pStyle w:val="null3"/>
            </w:pPr>
            <w:r>
              <w:rPr>
                <w:rFonts w:ascii="仿宋_GB2312" w:hAnsi="仿宋_GB2312" w:cs="仿宋_GB2312" w:eastAsia="仿宋_GB2312"/>
              </w:rPr>
              <w:t>商务条款及合同条款偏离表</w:t>
            </w:r>
          </w:p>
        </w:tc>
      </w:tr>
      <w:tr>
        <w:tc>
          <w:tcPr>
            <w:tcW w:type="dxa" w:w="831"/>
            <w:vMerge/>
          </w:tcP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商务条款满足招标文件要求得4分，否则不得分。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报价方案说明书</w:t>
            </w:r>
          </w:p>
          <w:p>
            <w:pPr>
              <w:pStyle w:val="null3"/>
            </w:pPr>
            <w:r>
              <w:rPr>
                <w:rFonts w:ascii="仿宋_GB2312" w:hAnsi="仿宋_GB2312" w:cs="仿宋_GB2312" w:eastAsia="仿宋_GB2312"/>
              </w:rPr>
              <w:t>商务条款及合同条款偏离表</w:t>
            </w:r>
          </w:p>
        </w:tc>
      </w:tr>
      <w:tr>
        <w:tc>
          <w:tcPr>
            <w:tcW w:type="dxa" w:w="831"/>
            <w:vMerge/>
          </w:tcPr>
          <w:p/>
        </w:tc>
        <w:tc>
          <w:tcPr>
            <w:tcW w:type="dxa" w:w="1661"/>
          </w:tcPr>
          <w:p>
            <w:pPr>
              <w:pStyle w:val="null3"/>
            </w:pPr>
            <w:r>
              <w:rPr>
                <w:rFonts w:ascii="仿宋_GB2312" w:hAnsi="仿宋_GB2312" w:cs="仿宋_GB2312" w:eastAsia="仿宋_GB2312"/>
              </w:rPr>
              <w:t>节能及环境标志产品</w:t>
            </w:r>
          </w:p>
        </w:tc>
        <w:tc>
          <w:tcPr>
            <w:tcW w:type="dxa" w:w="2492"/>
          </w:tcPr>
          <w:p>
            <w:pPr>
              <w:pStyle w:val="null3"/>
            </w:pPr>
            <w:r>
              <w:rPr>
                <w:rFonts w:ascii="仿宋_GB2312" w:hAnsi="仿宋_GB2312" w:cs="仿宋_GB2312" w:eastAsia="仿宋_GB2312"/>
              </w:rPr>
              <w:t>供应商所投产品中具有经国家确定的认证机构出具的、处于有效期之内的环境标志产品、节能产品认证证书，每有1个有效证书得0.5分，最多1分。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w:t>
            </w:r>
          </w:p>
          <w:p>
            <w:pPr>
              <w:pStyle w:val="null3"/>
            </w:pPr>
            <w:r>
              <w:rPr>
                <w:rFonts w:ascii="仿宋_GB2312" w:hAnsi="仿宋_GB2312" w:cs="仿宋_GB2312" w:eastAsia="仿宋_GB2312"/>
              </w:rPr>
              <w:t>报价方案说明书</w:t>
            </w:r>
          </w:p>
          <w:p>
            <w:pPr>
              <w:pStyle w:val="null3"/>
            </w:pPr>
            <w:r>
              <w:rPr>
                <w:rFonts w:ascii="仿宋_GB2312" w:hAnsi="仿宋_GB2312" w:cs="仿宋_GB2312" w:eastAsia="仿宋_GB2312"/>
              </w:rPr>
              <w:t>商务条款及合同条款偏离表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1.经初审合格的磋商响应文件，其磋商报价为有效磋商报价，对其价格（评审价格）进行价格评审。 2.满足磋商文件实质性要求且最终报价最低的供应商的价格为磋商基准价，其价格分30分。3.磋商报价得分=（磋商基准价/最终磋商报价）×30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详见附件：技术规格响应表</w:t>
      </w:r>
    </w:p>
    <w:p>
      <w:pPr>
        <w:pStyle w:val="null3"/>
        <w:ind w:firstLine="960"/>
      </w:pPr>
      <w:r>
        <w:rPr>
          <w:rFonts w:ascii="仿宋_GB2312" w:hAnsi="仿宋_GB2312" w:cs="仿宋_GB2312" w:eastAsia="仿宋_GB2312"/>
        </w:rPr>
        <w:t>详见附件：商务条款及合同条款偏离表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详见附件：货物说明一览表</w:t>
      </w:r>
    </w:p>
    <w:p>
      <w:pPr>
        <w:pStyle w:val="null3"/>
        <w:ind w:firstLine="960"/>
      </w:pPr>
      <w:r>
        <w:rPr>
          <w:rFonts w:ascii="仿宋_GB2312" w:hAnsi="仿宋_GB2312" w:cs="仿宋_GB2312" w:eastAsia="仿宋_GB2312"/>
        </w:rPr>
        <w:t>详见附件：配置清单</w:t>
      </w:r>
    </w:p>
    <w:p>
      <w:pPr>
        <w:pStyle w:val="null3"/>
        <w:ind w:firstLine="960"/>
      </w:pPr>
      <w:r>
        <w:rPr>
          <w:rFonts w:ascii="仿宋_GB2312" w:hAnsi="仿宋_GB2312" w:cs="仿宋_GB2312" w:eastAsia="仿宋_GB2312"/>
        </w:rPr>
        <w:t>详见附件：报价方案说明书</w:t>
      </w:r>
    </w:p>
    <w:p>
      <w:pPr>
        <w:pStyle w:val="null3"/>
        <w:ind w:firstLine="960"/>
      </w:pPr>
      <w:r>
        <w:rPr>
          <w:rFonts w:ascii="仿宋_GB2312" w:hAnsi="仿宋_GB2312" w:cs="仿宋_GB2312" w:eastAsia="仿宋_GB2312"/>
        </w:rPr>
        <w:t>详见附件：承诺书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