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版本号：ZX2025-12-4020260330001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（货物类）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项目名称：</w:t>
      </w:r>
      <w:r>
        <w:rPr>
          <w:rFonts w:ascii="仿宋_GB2312" w:hAnsi="仿宋_GB2312" w:cs="仿宋_GB2312" w:eastAsia="仿宋_GB2312"/>
          <w:sz w:val="15"/>
          <w:b/>
        </w:rPr>
        <w:t>电子胃肠镜采购项目</w:t>
      </w:r>
    </w:p>
    <w:p>
      <w:pPr>
        <w:pStyle w:val="null3"/>
        <w:jc w:val="center"/>
        <w:outlineLvl w:val="5"/>
      </w:pPr>
      <w:r>
        <w:rPr>
          <w:rFonts w:ascii="仿宋_GB2312" w:hAnsi="仿宋_GB2312" w:cs="仿宋_GB2312" w:eastAsia="仿宋_GB2312"/>
          <w:sz w:val="15"/>
          <w:b/>
        </w:rPr>
        <w:t xml:space="preserve">项目编号: </w:t>
      </w:r>
      <w:r>
        <w:rPr>
          <w:rFonts w:ascii="仿宋_GB2312" w:hAnsi="仿宋_GB2312" w:cs="仿宋_GB2312" w:eastAsia="仿宋_GB2312"/>
          <w:sz w:val="15"/>
          <w:b/>
        </w:rPr>
        <w:t>ZX2025-12-40</w:t>
      </w:r>
      <w:r>
        <w:br/>
      </w:r>
      <w:r>
        <w:br/>
      </w:r>
      <w:r>
        <w:br/>
      </w:r>
      <w:r>
        <w:br/>
      </w:r>
      <w:r>
        <w:br/>
      </w:r>
    </w:p>
    <w:p>
      <w:pPr>
        <w:pStyle w:val="null3"/>
        <w:jc w:val="center"/>
        <w:outlineLvl w:val="5"/>
      </w:pPr>
      <w:r>
        <w:rPr>
          <w:rFonts w:ascii="仿宋_GB2312" w:hAnsi="仿宋_GB2312" w:cs="仿宋_GB2312" w:eastAsia="仿宋_GB2312"/>
          <w:sz w:val="15"/>
          <w:b/>
        </w:rPr>
        <w:t>西安市第九医院</w:t>
      </w:r>
    </w:p>
    <w:p>
      <w:pPr>
        <w:pStyle w:val="null3"/>
        <w:jc w:val="center"/>
        <w:outlineLvl w:val="5"/>
      </w:pPr>
      <w:r>
        <w:rPr>
          <w:rFonts w:ascii="仿宋_GB2312" w:hAnsi="仿宋_GB2312" w:cs="仿宋_GB2312" w:eastAsia="仿宋_GB2312"/>
          <w:sz w:val="15"/>
          <w:b/>
        </w:rPr>
        <w:t>陕西正信招标有限公司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2026年03月30日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西安市第九医院</w:t>
      </w:r>
      <w:r>
        <w:rPr>
          <w:rFonts w:ascii="仿宋_GB2312" w:hAnsi="仿宋_GB2312" w:cs="仿宋_GB2312" w:eastAsia="仿宋_GB2312"/>
        </w:rPr>
        <w:t>委托，拟对</w:t>
      </w:r>
      <w:r>
        <w:rPr>
          <w:rFonts w:ascii="仿宋_GB2312" w:hAnsi="仿宋_GB2312" w:cs="仿宋_GB2312" w:eastAsia="仿宋_GB2312"/>
        </w:rPr>
        <w:t>电子胃肠镜采购项目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ZX2025-12-40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电子胃肠镜采购项目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（一）项目基本情况： 为保证消化内科正常内镜诊疗工作的运转，充分发挥现有宾得消化内镜的作用，提高医疗服务效率，为患者提供更优质、高效、精准的诊断治疗，结合科室需求，需购买宾得电子胃镜、肠镜各1条。 （二）适用范围： 消化内科用于上消化道至十二指肠及肠道的观察、诊断或治疗。</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协商的，须提供法定代表人身份证；法定代表人授权本单位他人参加协商的，须提供法定代表人授权委托书及被授权代表开标截止前三个月内任意一个月在本单位的社会保险缴纳证明。</w:t>
      </w:r>
    </w:p>
    <w:p>
      <w:pPr>
        <w:pStyle w:val="null3"/>
      </w:pPr>
      <w:r>
        <w:rPr>
          <w:rFonts w:ascii="仿宋_GB2312" w:hAnsi="仿宋_GB2312" w:cs="仿宋_GB2312" w:eastAsia="仿宋_GB2312"/>
        </w:rPr>
        <w:t>2、授权：所投产品为进口产品的，须提供所投产品厂家授权书或总代理商授权书（提供总代理商授权书的须出具有效授权权限的相关证明文件，证明文件须能显示产品制造厂家对所投产品授权链条的完整性）。</w:t>
      </w:r>
    </w:p>
    <w:p>
      <w:pPr>
        <w:pStyle w:val="null3"/>
      </w:pPr>
      <w:r>
        <w:rPr>
          <w:rFonts w:ascii="仿宋_GB2312" w:hAnsi="仿宋_GB2312" w:cs="仿宋_GB2312" w:eastAsia="仿宋_GB2312"/>
        </w:rPr>
        <w:t>3、医疗器械经营许可：所投产品属于医疗器械管理的，应出具供应商的医疗器械经营许可证或医疗器械经营备案凭证。</w:t>
      </w:r>
    </w:p>
    <w:p>
      <w:pPr>
        <w:pStyle w:val="null3"/>
      </w:pPr>
      <w:r>
        <w:rPr>
          <w:rFonts w:ascii="仿宋_GB2312" w:hAnsi="仿宋_GB2312" w:cs="仿宋_GB2312" w:eastAsia="仿宋_GB2312"/>
        </w:rPr>
        <w:t>4、医疗器械注册证或备案证：所投产品属于医疗器械管理的，提供所投产品的医疗器械注册证或备案证。</w:t>
      </w:r>
    </w:p>
    <w:p>
      <w:pPr>
        <w:pStyle w:val="null3"/>
        <w:ind w:firstLine="480"/>
      </w:pPr>
      <w:r>
        <w:rPr>
          <w:rFonts w:ascii="仿宋_GB2312" w:hAnsi="仿宋_GB2312" w:cs="仿宋_GB2312" w:eastAsia="仿宋_GB2312"/>
        </w:rPr>
        <w:t>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jc w:val="left"/>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西安市第九医院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西安市南二环东段151号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伍老师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029-61165668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刘汝樨 张爽 王宇轩 马演 曹婷 崔文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029-88110800转8025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本项目各包预算金额如下：</w:t>
            </w:r>
          </w:p>
          <w:p>
            <w:pPr>
              <w:pStyle w:val="null3"/>
            </w:pPr>
            <w:r>
              <w:rPr>
                <w:rFonts w:ascii="仿宋_GB2312" w:hAnsi="仿宋_GB2312" w:cs="仿宋_GB2312" w:eastAsia="仿宋_GB2312"/>
              </w:rPr>
              <w:t>采购包1：900,000.00元</w:t>
            </w:r>
            <w:r>
              <w:rPr>
                <w:rFonts w:ascii="仿宋_GB2312" w:hAnsi="仿宋_GB2312" w:cs="仿宋_GB2312" w:eastAsia="仿宋_GB2312"/>
              </w:rPr>
              <w:t>供应商的包件采购报价高于包件采购预算的，其响应文件将按无效处理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采购包1：900,000.00元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说明：成交供应商在合同签订前向采购人指定账户交纳履约保证金，为合同总价款5%，质保期限届满后，在扣除相关款项后（若有），剩余部分无息返还。</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代理服务费收费标准：参照国家计委计价格[2002]1980号及发改办价格[2003]857号通知规定下浮20%，由成交供应商支付代理服务费。</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w:t>
            </w:r>
          </w:p>
          <w:p>
            <w:pPr>
              <w:pStyle w:val="null3"/>
            </w:pPr>
            <w:r>
              <w:rPr>
                <w:rFonts w:ascii="仿宋_GB2312" w:hAnsi="仿宋_GB2312" w:cs="仿宋_GB2312" w:eastAsia="仿宋_GB2312"/>
              </w:rPr>
              <w:t>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西安市第九医院</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享有。对采购文件中供应商参加本次政府采购活动应当具备的条件、项目技术、服务、商务及其他要求，评审标准由采购人负责解释。除上述采购文件内容，其他内容由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西安市第九医院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 xml:space="preserve"> 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（五）协商办法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三、响应文件报价出现前后不一致的，按照第五章要求进行修正。修正后的报价经供应商通过项目电子化交易系统进行确认，并加盖供应商（法定名称）电子印章，供应商未在规定时间内报价的，其响应无效。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二、供应商应按照客户端操作要求，对应采购文件的每项资格、符合性要求，逐一对应进行响应；未逐一对应进行响应或者响应内容不符合采购文件对应项的要求的，其响应文件作无效处理。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 xml:space="preserve"> 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（一）项目基本情况： 为保证消化内科正常内镜诊疗工作的运转，充分发挥现有宾得消化内镜的作用，提高医疗服务效率，为患者提供更优质、高效、精准的诊断治疗，结合科室需求，需购买宾得电子胃镜、肠镜各1条。 （二）适用范围： 消化内科用于上消化道至十二指肠及肠道的观察、诊断或治疗。 （三）本项目采购产品已通过进口产品论证及备案，允许采购进口产品。</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电子胃肠镜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900,000.00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标的名称：电子胃肠镜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一、采购清单</w:t>
            </w:r>
          </w:p>
          <w:tbl>
            <w:tblPr>
              <w:tblBorders>
                <w:top w:val="single"/>
                <w:left w:val="single"/>
                <w:bottom w:val="single"/>
                <w:right w:val="single"/>
                <w:insideH w:val="single"/>
                <w:insideV w:val="single"/>
              </w:tblBorders>
            </w:tblPr>
            <w:tblGrid>
              <w:gridCol w:w="1276"/>
              <w:gridCol w:w="1276"/>
            </w:tblGrid>
            <w:tr>
              <w:tc>
                <w:tcPr>
                  <w:tcW w:type="dxa" w:w="1276"/>
                </w:tcPr>
                <w:p>
                  <w:pPr>
                    <w:pStyle w:val="null3"/>
                  </w:pPr>
                  <w:r>
                    <w:rPr>
                      <w:rFonts w:ascii="仿宋_GB2312" w:hAnsi="仿宋_GB2312" w:cs="仿宋_GB2312" w:eastAsia="仿宋_GB2312"/>
                    </w:rPr>
                    <w:t>产品名称</w:t>
                  </w:r>
                </w:p>
              </w:tc>
              <w:tc>
                <w:tcPr>
                  <w:tcW w:type="dxa" w:w="1276"/>
                </w:tcPr>
                <w:p>
                  <w:pPr>
                    <w:pStyle w:val="null3"/>
                  </w:pPr>
                  <w:r>
                    <w:rPr>
                      <w:rFonts w:ascii="仿宋_GB2312" w:hAnsi="仿宋_GB2312" w:cs="仿宋_GB2312" w:eastAsia="仿宋_GB2312"/>
                    </w:rPr>
                    <w:t>数量</w:t>
                  </w:r>
                </w:p>
              </w:tc>
            </w:tr>
            <w:tr>
              <w:tc>
                <w:tcPr>
                  <w:tcW w:type="dxa" w:w="1276"/>
                </w:tcPr>
                <w:p>
                  <w:pPr>
                    <w:pStyle w:val="null3"/>
                  </w:pPr>
                  <w:r>
                    <w:rPr>
                      <w:rFonts w:ascii="仿宋_GB2312" w:hAnsi="仿宋_GB2312" w:cs="仿宋_GB2312" w:eastAsia="仿宋_GB2312"/>
                    </w:rPr>
                    <w:t>治疗胃镜</w:t>
                  </w:r>
                </w:p>
              </w:tc>
              <w:tc>
                <w:tcPr>
                  <w:tcW w:type="dxa" w:w="1276"/>
                </w:tcPr>
                <w:p>
                  <w:pPr>
                    <w:pStyle w:val="null3"/>
                  </w:pPr>
                  <w:r>
                    <w:rPr>
                      <w:rFonts w:ascii="仿宋_GB2312" w:hAnsi="仿宋_GB2312" w:cs="仿宋_GB2312" w:eastAsia="仿宋_GB2312"/>
                    </w:rPr>
                    <w:t>1条</w:t>
                  </w:r>
                </w:p>
              </w:tc>
            </w:tr>
            <w:tr>
              <w:tc>
                <w:tcPr>
                  <w:tcW w:type="dxa" w:w="1276"/>
                </w:tcPr>
                <w:p>
                  <w:pPr>
                    <w:pStyle w:val="null3"/>
                  </w:pPr>
                  <w:r>
                    <w:rPr>
                      <w:rFonts w:ascii="仿宋_GB2312" w:hAnsi="仿宋_GB2312" w:cs="仿宋_GB2312" w:eastAsia="仿宋_GB2312"/>
                    </w:rPr>
                    <w:t>反转肠镜</w:t>
                  </w:r>
                </w:p>
              </w:tc>
              <w:tc>
                <w:tcPr>
                  <w:tcW w:type="dxa" w:w="1276"/>
                </w:tcPr>
                <w:p>
                  <w:pPr>
                    <w:pStyle w:val="null3"/>
                  </w:pPr>
                  <w:r>
                    <w:rPr>
                      <w:rFonts w:ascii="仿宋_GB2312" w:hAnsi="仿宋_GB2312" w:cs="仿宋_GB2312" w:eastAsia="仿宋_GB2312"/>
                    </w:rPr>
                    <w:t>1条</w:t>
                  </w:r>
                </w:p>
              </w:tc>
            </w:tr>
          </w:tbl>
          <w:p>
            <w:pPr>
              <w:pStyle w:val="null3"/>
            </w:pPr>
            <w:r>
              <w:rPr>
                <w:rFonts w:ascii="仿宋_GB2312" w:hAnsi="仿宋_GB2312" w:cs="仿宋_GB2312" w:eastAsia="仿宋_GB2312"/>
              </w:rPr>
              <w:t>二、技术参数</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序号</w:t>
                  </w:r>
                </w:p>
              </w:tc>
              <w:tc>
                <w:tcPr>
                  <w:tcW w:type="dxa" w:w="851"/>
                </w:tcPr>
                <w:p>
                  <w:pPr>
                    <w:pStyle w:val="null3"/>
                  </w:pPr>
                  <w:r>
                    <w:rPr>
                      <w:rFonts w:ascii="仿宋_GB2312" w:hAnsi="仿宋_GB2312" w:cs="仿宋_GB2312" w:eastAsia="仿宋_GB2312"/>
                    </w:rPr>
                    <w:t>指标名称</w:t>
                  </w:r>
                </w:p>
              </w:tc>
              <w:tc>
                <w:tcPr>
                  <w:tcW w:type="dxa" w:w="851"/>
                </w:tcPr>
                <w:p>
                  <w:pPr>
                    <w:pStyle w:val="null3"/>
                  </w:pPr>
                  <w:r>
                    <w:rPr>
                      <w:rFonts w:ascii="仿宋_GB2312" w:hAnsi="仿宋_GB2312" w:cs="仿宋_GB2312" w:eastAsia="仿宋_GB2312"/>
                    </w:rPr>
                    <w:t>技术参数</w:t>
                  </w:r>
                </w:p>
              </w:tc>
            </w:tr>
            <w:tr>
              <w:tc>
                <w:tcPr>
                  <w:tcW w:type="dxa" w:w="851"/>
                </w:tcPr>
                <w:p>
                  <w:pPr>
                    <w:pStyle w:val="null3"/>
                  </w:pPr>
                  <w:r>
                    <w:rPr>
                      <w:rFonts w:ascii="仿宋_GB2312" w:hAnsi="仿宋_GB2312" w:cs="仿宋_GB2312" w:eastAsia="仿宋_GB2312"/>
                    </w:rPr>
                    <w:t>1</w:t>
                  </w:r>
                </w:p>
              </w:tc>
              <w:tc>
                <w:tcPr>
                  <w:tcW w:type="dxa" w:w="851"/>
                </w:tcPr>
                <w:p>
                  <w:pPr>
                    <w:pStyle w:val="null3"/>
                  </w:pPr>
                  <w:r>
                    <w:rPr>
                      <w:rFonts w:ascii="仿宋_GB2312" w:hAnsi="仿宋_GB2312" w:cs="仿宋_GB2312" w:eastAsia="仿宋_GB2312"/>
                    </w:rPr>
                    <w:t>治疗胃镜</w:t>
                  </w:r>
                </w:p>
              </w:tc>
              <w:tc>
                <w:tcPr>
                  <w:tcW w:type="dxa" w:w="851"/>
                </w:tcPr>
                <w:p>
                  <w:pPr>
                    <w:pStyle w:val="null3"/>
                  </w:pPr>
                  <w:r>
                    <w:rPr>
                      <w:rFonts w:ascii="仿宋_GB2312" w:hAnsi="仿宋_GB2312" w:cs="仿宋_GB2312" w:eastAsia="仿宋_GB2312"/>
                    </w:rPr>
                    <w:t xml:space="preserve">  1条</w:t>
                  </w:r>
                </w:p>
              </w:tc>
            </w:tr>
            <w:tr>
              <w:tc>
                <w:tcPr>
                  <w:tcW w:type="dxa" w:w="851"/>
                </w:tcPr>
                <w:p>
                  <w:pPr>
                    <w:pStyle w:val="null3"/>
                  </w:pPr>
                  <w:r>
                    <w:rPr>
                      <w:rFonts w:ascii="仿宋_GB2312" w:hAnsi="仿宋_GB2312" w:cs="仿宋_GB2312" w:eastAsia="仿宋_GB2312"/>
                    </w:rPr>
                    <w:t>1.1</w:t>
                  </w:r>
                </w:p>
              </w:tc>
              <w:tc>
                <w:tcPr>
                  <w:tcW w:type="dxa" w:w="851"/>
                </w:tcPr>
                <w:p>
                  <w:pPr>
                    <w:pStyle w:val="null3"/>
                  </w:pPr>
                  <w:r>
                    <w:rPr>
                      <w:rFonts w:ascii="仿宋_GB2312" w:hAnsi="仿宋_GB2312" w:cs="仿宋_GB2312" w:eastAsia="仿宋_GB2312"/>
                    </w:rPr>
                    <w:t>视野角</w:t>
                  </w:r>
                </w:p>
              </w:tc>
              <w:tc>
                <w:tcPr>
                  <w:tcW w:type="dxa" w:w="851"/>
                </w:tcPr>
                <w:p>
                  <w:pPr>
                    <w:pStyle w:val="null3"/>
                  </w:pPr>
                  <w:r>
                    <w:rPr>
                      <w:rFonts w:ascii="仿宋_GB2312" w:hAnsi="仿宋_GB2312" w:cs="仿宋_GB2312" w:eastAsia="仿宋_GB2312"/>
                    </w:rPr>
                    <w:t>≥140°</w:t>
                  </w:r>
                </w:p>
              </w:tc>
            </w:tr>
            <w:tr>
              <w:tc>
                <w:tcPr>
                  <w:tcW w:type="dxa" w:w="851"/>
                </w:tcPr>
                <w:p>
                  <w:pPr>
                    <w:pStyle w:val="null3"/>
                  </w:pPr>
                  <w:r>
                    <w:rPr>
                      <w:rFonts w:ascii="仿宋_GB2312" w:hAnsi="仿宋_GB2312" w:cs="仿宋_GB2312" w:eastAsia="仿宋_GB2312"/>
                    </w:rPr>
                    <w:t>1.2</w:t>
                  </w:r>
                </w:p>
              </w:tc>
              <w:tc>
                <w:tcPr>
                  <w:tcW w:type="dxa" w:w="851"/>
                </w:tcPr>
                <w:p>
                  <w:pPr>
                    <w:pStyle w:val="null3"/>
                  </w:pPr>
                  <w:r>
                    <w:rPr>
                      <w:rFonts w:ascii="仿宋_GB2312" w:hAnsi="仿宋_GB2312" w:cs="仿宋_GB2312" w:eastAsia="仿宋_GB2312"/>
                    </w:rPr>
                    <w:t>视野方向</w:t>
                  </w:r>
                </w:p>
              </w:tc>
              <w:tc>
                <w:tcPr>
                  <w:tcW w:type="dxa" w:w="851"/>
                </w:tcPr>
                <w:p>
                  <w:pPr>
                    <w:pStyle w:val="null3"/>
                  </w:pPr>
                  <w:r>
                    <w:rPr>
                      <w:rFonts w:ascii="仿宋_GB2312" w:hAnsi="仿宋_GB2312" w:cs="仿宋_GB2312" w:eastAsia="仿宋_GB2312"/>
                    </w:rPr>
                    <w:t>直视</w:t>
                  </w:r>
                </w:p>
              </w:tc>
            </w:tr>
            <w:tr>
              <w:tc>
                <w:tcPr>
                  <w:tcW w:type="dxa" w:w="851"/>
                </w:tcPr>
                <w:p>
                  <w:pPr>
                    <w:pStyle w:val="null3"/>
                  </w:pPr>
                  <w:r>
                    <w:rPr>
                      <w:rFonts w:ascii="仿宋_GB2312" w:hAnsi="仿宋_GB2312" w:cs="仿宋_GB2312" w:eastAsia="仿宋_GB2312"/>
                    </w:rPr>
                    <w:t>1.3</w:t>
                  </w:r>
                </w:p>
              </w:tc>
              <w:tc>
                <w:tcPr>
                  <w:tcW w:type="dxa" w:w="851"/>
                </w:tcPr>
                <w:p>
                  <w:pPr>
                    <w:pStyle w:val="null3"/>
                  </w:pPr>
                  <w:r>
                    <w:rPr>
                      <w:rFonts w:ascii="仿宋_GB2312" w:hAnsi="仿宋_GB2312" w:cs="仿宋_GB2312" w:eastAsia="仿宋_GB2312"/>
                    </w:rPr>
                    <w:t>景深</w:t>
                  </w:r>
                </w:p>
              </w:tc>
              <w:tc>
                <w:tcPr>
                  <w:tcW w:type="dxa" w:w="851"/>
                </w:tcPr>
                <w:p>
                  <w:pPr>
                    <w:pStyle w:val="null3"/>
                  </w:pPr>
                  <w:r>
                    <w:rPr>
                      <w:rFonts w:ascii="仿宋_GB2312" w:hAnsi="仿宋_GB2312" w:cs="仿宋_GB2312" w:eastAsia="仿宋_GB2312"/>
                    </w:rPr>
                    <w:t>3-100mm</w:t>
                  </w:r>
                </w:p>
              </w:tc>
            </w:tr>
            <w:tr>
              <w:tc>
                <w:tcPr>
                  <w:tcW w:type="dxa" w:w="851"/>
                </w:tcPr>
                <w:p>
                  <w:pPr>
                    <w:pStyle w:val="null3"/>
                  </w:pPr>
                  <w:r>
                    <w:rPr>
                      <w:rFonts w:ascii="仿宋_GB2312" w:hAnsi="仿宋_GB2312" w:cs="仿宋_GB2312" w:eastAsia="仿宋_GB2312"/>
                    </w:rPr>
                    <w:t>1.4</w:t>
                  </w:r>
                </w:p>
              </w:tc>
              <w:tc>
                <w:tcPr>
                  <w:tcW w:type="dxa" w:w="851"/>
                </w:tcPr>
                <w:p>
                  <w:pPr>
                    <w:pStyle w:val="null3"/>
                  </w:pPr>
                  <w:r>
                    <w:rPr>
                      <w:rFonts w:ascii="仿宋_GB2312" w:hAnsi="仿宋_GB2312" w:cs="仿宋_GB2312" w:eastAsia="仿宋_GB2312"/>
                    </w:rPr>
                    <w:t>弯曲角度</w:t>
                  </w:r>
                </w:p>
              </w:tc>
              <w:tc>
                <w:tcPr>
                  <w:tcW w:type="dxa" w:w="851"/>
                </w:tcPr>
                <w:p>
                  <w:pPr>
                    <w:pStyle w:val="null3"/>
                  </w:pPr>
                  <w:r>
                    <w:rPr>
                      <w:rFonts w:ascii="仿宋_GB2312" w:hAnsi="仿宋_GB2312" w:cs="仿宋_GB2312" w:eastAsia="仿宋_GB2312"/>
                    </w:rPr>
                    <w:t>上≥210°、下≥120°、左≥120°、右≥120°</w:t>
                  </w:r>
                </w:p>
              </w:tc>
            </w:tr>
            <w:tr>
              <w:tc>
                <w:tcPr>
                  <w:tcW w:type="dxa" w:w="851"/>
                </w:tcPr>
                <w:p>
                  <w:pPr>
                    <w:pStyle w:val="null3"/>
                  </w:pPr>
                  <w:r>
                    <w:rPr>
                      <w:rFonts w:ascii="仿宋_GB2312" w:hAnsi="仿宋_GB2312" w:cs="仿宋_GB2312" w:eastAsia="仿宋_GB2312"/>
                    </w:rPr>
                    <w:t>1.5</w:t>
                  </w:r>
                </w:p>
              </w:tc>
              <w:tc>
                <w:tcPr>
                  <w:tcW w:type="dxa" w:w="851"/>
                </w:tcPr>
                <w:p>
                  <w:pPr>
                    <w:pStyle w:val="null3"/>
                  </w:pPr>
                  <w:r>
                    <w:rPr>
                      <w:rFonts w:ascii="仿宋_GB2312" w:hAnsi="仿宋_GB2312" w:cs="仿宋_GB2312" w:eastAsia="仿宋_GB2312"/>
                    </w:rPr>
                    <w:t>先端部外径</w:t>
                  </w:r>
                </w:p>
              </w:tc>
              <w:tc>
                <w:tcPr>
                  <w:tcW w:type="dxa" w:w="851"/>
                </w:tcPr>
                <w:p>
                  <w:pPr>
                    <w:pStyle w:val="null3"/>
                  </w:pPr>
                  <w:r>
                    <w:rPr>
                      <w:rFonts w:ascii="仿宋_GB2312" w:hAnsi="仿宋_GB2312" w:cs="仿宋_GB2312" w:eastAsia="仿宋_GB2312"/>
                    </w:rPr>
                    <w:t>≤9.9mm</w:t>
                  </w:r>
                </w:p>
              </w:tc>
            </w:tr>
            <w:tr>
              <w:tc>
                <w:tcPr>
                  <w:tcW w:type="dxa" w:w="851"/>
                </w:tcPr>
                <w:p>
                  <w:pPr>
                    <w:pStyle w:val="null3"/>
                  </w:pPr>
                  <w:r>
                    <w:rPr>
                      <w:rFonts w:ascii="仿宋_GB2312" w:hAnsi="仿宋_GB2312" w:cs="仿宋_GB2312" w:eastAsia="仿宋_GB2312"/>
                    </w:rPr>
                    <w:t>1.6</w:t>
                  </w:r>
                </w:p>
              </w:tc>
              <w:tc>
                <w:tcPr>
                  <w:tcW w:type="dxa" w:w="851"/>
                </w:tcPr>
                <w:p>
                  <w:pPr>
                    <w:pStyle w:val="null3"/>
                  </w:pPr>
                  <w:r>
                    <w:rPr>
                      <w:rFonts w:ascii="仿宋_GB2312" w:hAnsi="仿宋_GB2312" w:cs="仿宋_GB2312" w:eastAsia="仿宋_GB2312"/>
                    </w:rPr>
                    <w:t>插入部外径</w:t>
                  </w:r>
                </w:p>
              </w:tc>
              <w:tc>
                <w:tcPr>
                  <w:tcW w:type="dxa" w:w="851"/>
                </w:tcPr>
                <w:p>
                  <w:pPr>
                    <w:pStyle w:val="null3"/>
                  </w:pPr>
                  <w:r>
                    <w:rPr>
                      <w:rFonts w:ascii="仿宋_GB2312" w:hAnsi="仿宋_GB2312" w:cs="仿宋_GB2312" w:eastAsia="仿宋_GB2312"/>
                    </w:rPr>
                    <w:t>≤9.8mm</w:t>
                  </w:r>
                </w:p>
              </w:tc>
            </w:tr>
            <w:tr>
              <w:tc>
                <w:tcPr>
                  <w:tcW w:type="dxa" w:w="851"/>
                </w:tcPr>
                <w:p>
                  <w:pPr>
                    <w:pStyle w:val="null3"/>
                  </w:pPr>
                  <w:r>
                    <w:rPr>
                      <w:rFonts w:ascii="仿宋_GB2312" w:hAnsi="仿宋_GB2312" w:cs="仿宋_GB2312" w:eastAsia="仿宋_GB2312"/>
                    </w:rPr>
                    <w:t>1.7</w:t>
                  </w:r>
                </w:p>
              </w:tc>
              <w:tc>
                <w:tcPr>
                  <w:tcW w:type="dxa" w:w="851"/>
                </w:tcPr>
                <w:p>
                  <w:pPr>
                    <w:pStyle w:val="null3"/>
                  </w:pPr>
                  <w:r>
                    <w:rPr>
                      <w:rFonts w:ascii="仿宋_GB2312" w:hAnsi="仿宋_GB2312" w:cs="仿宋_GB2312" w:eastAsia="仿宋_GB2312"/>
                    </w:rPr>
                    <w:t>内镜管道</w:t>
                  </w:r>
                </w:p>
              </w:tc>
              <w:tc>
                <w:tcPr>
                  <w:tcW w:type="dxa" w:w="851"/>
                </w:tcPr>
                <w:p>
                  <w:pPr>
                    <w:pStyle w:val="null3"/>
                  </w:pPr>
                  <w:r>
                    <w:rPr>
                      <w:rFonts w:ascii="仿宋_GB2312" w:hAnsi="仿宋_GB2312" w:cs="仿宋_GB2312" w:eastAsia="仿宋_GB2312"/>
                    </w:rPr>
                    <w:t>≥3.2mm</w:t>
                  </w:r>
                </w:p>
              </w:tc>
            </w:tr>
            <w:tr>
              <w:tc>
                <w:tcPr>
                  <w:tcW w:type="dxa" w:w="851"/>
                </w:tcPr>
                <w:p>
                  <w:pPr>
                    <w:pStyle w:val="null3"/>
                  </w:pPr>
                  <w:r>
                    <w:rPr>
                      <w:rFonts w:ascii="仿宋_GB2312" w:hAnsi="仿宋_GB2312" w:cs="仿宋_GB2312" w:eastAsia="仿宋_GB2312"/>
                    </w:rPr>
                    <w:t>1.8</w:t>
                  </w:r>
                </w:p>
              </w:tc>
              <w:tc>
                <w:tcPr>
                  <w:tcW w:type="dxa" w:w="851"/>
                </w:tcPr>
                <w:p>
                  <w:pPr>
                    <w:pStyle w:val="null3"/>
                  </w:pPr>
                  <w:r>
                    <w:rPr>
                      <w:rFonts w:ascii="仿宋_GB2312" w:hAnsi="仿宋_GB2312" w:cs="仿宋_GB2312" w:eastAsia="仿宋_GB2312"/>
                    </w:rPr>
                    <w:t>有效长度</w:t>
                  </w:r>
                </w:p>
              </w:tc>
              <w:tc>
                <w:tcPr>
                  <w:tcW w:type="dxa" w:w="851"/>
                </w:tcPr>
                <w:p>
                  <w:pPr>
                    <w:pStyle w:val="null3"/>
                  </w:pPr>
                  <w:r>
                    <w:rPr>
                      <w:rFonts w:ascii="仿宋_GB2312" w:hAnsi="仿宋_GB2312" w:cs="仿宋_GB2312" w:eastAsia="仿宋_GB2312"/>
                    </w:rPr>
                    <w:t>≥1000mm</w:t>
                  </w:r>
                </w:p>
              </w:tc>
            </w:tr>
            <w:tr>
              <w:tc>
                <w:tcPr>
                  <w:tcW w:type="dxa" w:w="851"/>
                </w:tcPr>
                <w:p>
                  <w:pPr>
                    <w:pStyle w:val="null3"/>
                  </w:pPr>
                  <w:r>
                    <w:rPr>
                      <w:rFonts w:ascii="仿宋_GB2312" w:hAnsi="仿宋_GB2312" w:cs="仿宋_GB2312" w:eastAsia="仿宋_GB2312"/>
                    </w:rPr>
                    <w:t>1.9</w:t>
                  </w:r>
                </w:p>
              </w:tc>
              <w:tc>
                <w:tcPr>
                  <w:tcW w:type="dxa" w:w="851"/>
                </w:tcPr>
                <w:p>
                  <w:pPr>
                    <w:pStyle w:val="null3"/>
                  </w:pPr>
                  <w:r>
                    <w:rPr>
                      <w:rFonts w:ascii="仿宋_GB2312" w:hAnsi="仿宋_GB2312" w:cs="仿宋_GB2312" w:eastAsia="仿宋_GB2312"/>
                    </w:rPr>
                    <w:t>全长</w:t>
                  </w:r>
                </w:p>
              </w:tc>
              <w:tc>
                <w:tcPr>
                  <w:tcW w:type="dxa" w:w="851"/>
                </w:tcPr>
                <w:p>
                  <w:pPr>
                    <w:pStyle w:val="null3"/>
                  </w:pPr>
                  <w:r>
                    <w:rPr>
                      <w:rFonts w:ascii="仿宋_GB2312" w:hAnsi="仿宋_GB2312" w:cs="仿宋_GB2312" w:eastAsia="仿宋_GB2312"/>
                    </w:rPr>
                    <w:t>≥1300mm</w:t>
                  </w:r>
                </w:p>
              </w:tc>
            </w:tr>
            <w:tr>
              <w:tc>
                <w:tcPr>
                  <w:tcW w:type="dxa" w:w="851"/>
                </w:tcPr>
                <w:p>
                  <w:pPr>
                    <w:pStyle w:val="null3"/>
                  </w:pPr>
                  <w:r>
                    <w:rPr>
                      <w:rFonts w:ascii="仿宋_GB2312" w:hAnsi="仿宋_GB2312" w:cs="仿宋_GB2312" w:eastAsia="仿宋_GB2312"/>
                    </w:rPr>
                    <w:t>1.10</w:t>
                  </w:r>
                </w:p>
              </w:tc>
              <w:tc>
                <w:tcPr>
                  <w:tcW w:type="dxa" w:w="851"/>
                </w:tcPr>
                <w:p>
                  <w:pPr>
                    <w:pStyle w:val="null3"/>
                  </w:pPr>
                  <w:r>
                    <w:rPr>
                      <w:rFonts w:ascii="仿宋_GB2312" w:hAnsi="仿宋_GB2312" w:cs="仿宋_GB2312" w:eastAsia="仿宋_GB2312"/>
                    </w:rPr>
                    <w:t>内镜180度旋转功能</w:t>
                  </w:r>
                </w:p>
              </w:tc>
              <w:tc>
                <w:tcPr>
                  <w:tcW w:type="dxa" w:w="851"/>
                </w:tcPr>
                <w:p>
                  <w:pPr>
                    <w:pStyle w:val="null3"/>
                  </w:pPr>
                  <w:r>
                    <w:rPr>
                      <w:rFonts w:ascii="仿宋_GB2312" w:hAnsi="仿宋_GB2312" w:cs="仿宋_GB2312" w:eastAsia="仿宋_GB2312"/>
                    </w:rPr>
                    <w:t>保护导光束延长使用寿命，降低操作疲劳感</w:t>
                  </w:r>
                </w:p>
              </w:tc>
            </w:tr>
            <w:tr>
              <w:tc>
                <w:tcPr>
                  <w:tcW w:type="dxa" w:w="851"/>
                </w:tcPr>
                <w:p>
                  <w:pPr>
                    <w:pStyle w:val="null3"/>
                  </w:pPr>
                  <w:r>
                    <w:rPr>
                      <w:rFonts w:ascii="仿宋_GB2312" w:hAnsi="仿宋_GB2312" w:cs="仿宋_GB2312" w:eastAsia="仿宋_GB2312"/>
                    </w:rPr>
                    <w:t>1.11</w:t>
                  </w:r>
                </w:p>
              </w:tc>
              <w:tc>
                <w:tcPr>
                  <w:tcW w:type="dxa" w:w="851"/>
                </w:tcPr>
                <w:p>
                  <w:pPr>
                    <w:pStyle w:val="null3"/>
                  </w:pPr>
                  <w:r>
                    <w:rPr>
                      <w:rFonts w:ascii="仿宋_GB2312" w:hAnsi="仿宋_GB2312" w:cs="仿宋_GB2312" w:eastAsia="仿宋_GB2312"/>
                    </w:rPr>
                    <w:t>电子染色功能</w:t>
                  </w:r>
                </w:p>
              </w:tc>
              <w:tc>
                <w:tcPr>
                  <w:tcW w:type="dxa" w:w="851"/>
                </w:tcPr>
                <w:p>
                  <w:pPr>
                    <w:pStyle w:val="null3"/>
                  </w:pPr>
                  <w:r>
                    <w:rPr>
                      <w:rFonts w:ascii="仿宋_GB2312" w:hAnsi="仿宋_GB2312" w:cs="仿宋_GB2312" w:eastAsia="仿宋_GB2312"/>
                    </w:rPr>
                    <w:t>具备</w:t>
                  </w:r>
                </w:p>
              </w:tc>
            </w:tr>
            <w:tr>
              <w:tc>
                <w:tcPr>
                  <w:tcW w:type="dxa" w:w="851"/>
                </w:tcPr>
                <w:p>
                  <w:pPr>
                    <w:pStyle w:val="null3"/>
                  </w:pPr>
                  <w:r>
                    <w:rPr>
                      <w:rFonts w:ascii="仿宋_GB2312" w:hAnsi="仿宋_GB2312" w:cs="仿宋_GB2312" w:eastAsia="仿宋_GB2312"/>
                    </w:rPr>
                    <w:t>1.12</w:t>
                  </w:r>
                </w:p>
              </w:tc>
              <w:tc>
                <w:tcPr>
                  <w:tcW w:type="dxa" w:w="851"/>
                </w:tcPr>
                <w:p>
                  <w:pPr>
                    <w:pStyle w:val="null3"/>
                  </w:pPr>
                  <w:r>
                    <w:rPr>
                      <w:rFonts w:ascii="仿宋_GB2312" w:hAnsi="仿宋_GB2312" w:cs="仿宋_GB2312" w:eastAsia="仿宋_GB2312"/>
                    </w:rPr>
                    <w:t>向前射水功能</w:t>
                  </w:r>
                </w:p>
              </w:tc>
              <w:tc>
                <w:tcPr>
                  <w:tcW w:type="dxa" w:w="851"/>
                </w:tcPr>
                <w:p>
                  <w:pPr>
                    <w:pStyle w:val="null3"/>
                  </w:pPr>
                  <w:r>
                    <w:rPr>
                      <w:rFonts w:ascii="仿宋_GB2312" w:hAnsi="仿宋_GB2312" w:cs="仿宋_GB2312" w:eastAsia="仿宋_GB2312"/>
                    </w:rPr>
                    <w:t>具备</w:t>
                  </w:r>
                </w:p>
              </w:tc>
            </w:tr>
            <w:tr>
              <w:tc>
                <w:tcPr>
                  <w:tcW w:type="dxa" w:w="851"/>
                </w:tcPr>
                <w:p>
                  <w:pPr>
                    <w:pStyle w:val="null3"/>
                  </w:pPr>
                  <w:r>
                    <w:rPr>
                      <w:rFonts w:ascii="仿宋_GB2312" w:hAnsi="仿宋_GB2312" w:cs="仿宋_GB2312" w:eastAsia="仿宋_GB2312"/>
                    </w:rPr>
                    <w:t>1.13</w:t>
                  </w:r>
                </w:p>
              </w:tc>
              <w:tc>
                <w:tcPr>
                  <w:tcW w:type="dxa" w:w="1702"/>
                  <w:gridSpan w:val="2"/>
                </w:tcPr>
                <w:p>
                  <w:pPr>
                    <w:pStyle w:val="null3"/>
                  </w:pPr>
                  <w:r>
                    <w:rPr>
                      <w:rFonts w:ascii="仿宋_GB2312" w:hAnsi="仿宋_GB2312" w:cs="仿宋_GB2312" w:eastAsia="仿宋_GB2312"/>
                    </w:rPr>
                    <w:t>能够与院内现有宾得内镜主机（EPK-i5000）配套使用</w:t>
                  </w:r>
                </w:p>
              </w:tc>
            </w:tr>
            <w:tr>
              <w:tc>
                <w:tcPr>
                  <w:tcW w:type="dxa" w:w="851"/>
                </w:tcPr>
                <w:p>
                  <w:pPr>
                    <w:pStyle w:val="null3"/>
                  </w:pPr>
                  <w:r>
                    <w:rPr>
                      <w:rFonts w:ascii="仿宋_GB2312" w:hAnsi="仿宋_GB2312" w:cs="仿宋_GB2312" w:eastAsia="仿宋_GB2312"/>
                    </w:rPr>
                    <w:t>2</w:t>
                  </w:r>
                </w:p>
              </w:tc>
              <w:tc>
                <w:tcPr>
                  <w:tcW w:type="dxa" w:w="851"/>
                </w:tcPr>
                <w:p>
                  <w:pPr>
                    <w:pStyle w:val="null3"/>
                  </w:pPr>
                  <w:r>
                    <w:rPr>
                      <w:rFonts w:ascii="仿宋_GB2312" w:hAnsi="仿宋_GB2312" w:cs="仿宋_GB2312" w:eastAsia="仿宋_GB2312"/>
                    </w:rPr>
                    <w:t>反转肠镜</w:t>
                  </w:r>
                </w:p>
              </w:tc>
              <w:tc>
                <w:tcPr>
                  <w:tcW w:type="dxa" w:w="851"/>
                </w:tcPr>
                <w:p>
                  <w:pPr>
                    <w:pStyle w:val="null3"/>
                  </w:pPr>
                  <w:r>
                    <w:rPr>
                      <w:rFonts w:ascii="仿宋_GB2312" w:hAnsi="仿宋_GB2312" w:cs="仿宋_GB2312" w:eastAsia="仿宋_GB2312"/>
                    </w:rPr>
                    <w:t xml:space="preserve">   1条</w:t>
                  </w:r>
                </w:p>
              </w:tc>
            </w:tr>
            <w:tr>
              <w:tc>
                <w:tcPr>
                  <w:tcW w:type="dxa" w:w="851"/>
                </w:tcPr>
                <w:p>
                  <w:pPr>
                    <w:pStyle w:val="null3"/>
                  </w:pPr>
                  <w:r>
                    <w:rPr>
                      <w:rFonts w:ascii="仿宋_GB2312" w:hAnsi="仿宋_GB2312" w:cs="仿宋_GB2312" w:eastAsia="仿宋_GB2312"/>
                    </w:rPr>
                    <w:t>2.1</w:t>
                  </w:r>
                </w:p>
              </w:tc>
              <w:tc>
                <w:tcPr>
                  <w:tcW w:type="dxa" w:w="851"/>
                </w:tcPr>
                <w:p>
                  <w:pPr>
                    <w:pStyle w:val="null3"/>
                  </w:pPr>
                  <w:r>
                    <w:rPr>
                      <w:rFonts w:ascii="仿宋_GB2312" w:hAnsi="仿宋_GB2312" w:cs="仿宋_GB2312" w:eastAsia="仿宋_GB2312"/>
                    </w:rPr>
                    <w:t>视野角度</w:t>
                  </w:r>
                </w:p>
              </w:tc>
              <w:tc>
                <w:tcPr>
                  <w:tcW w:type="dxa" w:w="851"/>
                </w:tcPr>
                <w:p>
                  <w:pPr>
                    <w:pStyle w:val="null3"/>
                  </w:pPr>
                  <w:r>
                    <w:rPr>
                      <w:rFonts w:ascii="仿宋_GB2312" w:hAnsi="仿宋_GB2312" w:cs="仿宋_GB2312" w:eastAsia="仿宋_GB2312"/>
                    </w:rPr>
                    <w:t>140°</w:t>
                  </w:r>
                </w:p>
              </w:tc>
            </w:tr>
            <w:tr>
              <w:tc>
                <w:tcPr>
                  <w:tcW w:type="dxa" w:w="851"/>
                </w:tcPr>
                <w:p>
                  <w:pPr>
                    <w:pStyle w:val="null3"/>
                  </w:pPr>
                  <w:r>
                    <w:rPr>
                      <w:rFonts w:ascii="仿宋_GB2312" w:hAnsi="仿宋_GB2312" w:cs="仿宋_GB2312" w:eastAsia="仿宋_GB2312"/>
                    </w:rPr>
                    <w:t>2.2</w:t>
                  </w:r>
                </w:p>
              </w:tc>
              <w:tc>
                <w:tcPr>
                  <w:tcW w:type="dxa" w:w="851"/>
                </w:tcPr>
                <w:p>
                  <w:pPr>
                    <w:pStyle w:val="null3"/>
                  </w:pPr>
                  <w:r>
                    <w:rPr>
                      <w:rFonts w:ascii="仿宋_GB2312" w:hAnsi="仿宋_GB2312" w:cs="仿宋_GB2312" w:eastAsia="仿宋_GB2312"/>
                    </w:rPr>
                    <w:t>景深</w:t>
                  </w:r>
                </w:p>
              </w:tc>
              <w:tc>
                <w:tcPr>
                  <w:tcW w:type="dxa" w:w="851"/>
                </w:tcPr>
                <w:p>
                  <w:pPr>
                    <w:pStyle w:val="null3"/>
                  </w:pPr>
                  <w:r>
                    <w:rPr>
                      <w:rFonts w:ascii="仿宋_GB2312" w:hAnsi="仿宋_GB2312" w:cs="仿宋_GB2312" w:eastAsia="仿宋_GB2312"/>
                    </w:rPr>
                    <w:t>2-100mm</w:t>
                  </w:r>
                </w:p>
              </w:tc>
            </w:tr>
            <w:tr>
              <w:tc>
                <w:tcPr>
                  <w:tcW w:type="dxa" w:w="851"/>
                </w:tcPr>
                <w:p>
                  <w:pPr>
                    <w:pStyle w:val="null3"/>
                  </w:pPr>
                  <w:r>
                    <w:rPr>
                      <w:rFonts w:ascii="仿宋_GB2312" w:hAnsi="仿宋_GB2312" w:cs="仿宋_GB2312" w:eastAsia="仿宋_GB2312"/>
                    </w:rPr>
                    <w:t>2.3</w:t>
                  </w:r>
                </w:p>
              </w:tc>
              <w:tc>
                <w:tcPr>
                  <w:tcW w:type="dxa" w:w="851"/>
                </w:tcPr>
                <w:p>
                  <w:pPr>
                    <w:pStyle w:val="null3"/>
                  </w:pPr>
                  <w:r>
                    <w:rPr>
                      <w:rFonts w:ascii="仿宋_GB2312" w:hAnsi="仿宋_GB2312" w:cs="仿宋_GB2312" w:eastAsia="仿宋_GB2312"/>
                    </w:rPr>
                    <w:t>弯曲角度</w:t>
                  </w:r>
                </w:p>
              </w:tc>
              <w:tc>
                <w:tcPr>
                  <w:tcW w:type="dxa" w:w="851"/>
                </w:tcPr>
                <w:p>
                  <w:pPr>
                    <w:pStyle w:val="null3"/>
                  </w:pPr>
                  <w:r>
                    <w:rPr>
                      <w:rFonts w:ascii="仿宋_GB2312" w:hAnsi="仿宋_GB2312" w:cs="仿宋_GB2312" w:eastAsia="仿宋_GB2312"/>
                    </w:rPr>
                    <w:t>上≥210°、下≥180°、左、右≥160°</w:t>
                  </w:r>
                </w:p>
              </w:tc>
            </w:tr>
            <w:tr>
              <w:tc>
                <w:tcPr>
                  <w:tcW w:type="dxa" w:w="851"/>
                </w:tcPr>
                <w:p>
                  <w:pPr>
                    <w:pStyle w:val="null3"/>
                  </w:pPr>
                  <w:r>
                    <w:rPr>
                      <w:rFonts w:ascii="仿宋_GB2312" w:hAnsi="仿宋_GB2312" w:cs="仿宋_GB2312" w:eastAsia="仿宋_GB2312"/>
                    </w:rPr>
                    <w:t>2.4</w:t>
                  </w:r>
                </w:p>
              </w:tc>
              <w:tc>
                <w:tcPr>
                  <w:tcW w:type="dxa" w:w="851"/>
                </w:tcPr>
                <w:p>
                  <w:pPr>
                    <w:pStyle w:val="null3"/>
                  </w:pPr>
                  <w:r>
                    <w:rPr>
                      <w:rFonts w:ascii="仿宋_GB2312" w:hAnsi="仿宋_GB2312" w:cs="仿宋_GB2312" w:eastAsia="仿宋_GB2312"/>
                    </w:rPr>
                    <w:t>插入部外径</w:t>
                  </w:r>
                </w:p>
              </w:tc>
              <w:tc>
                <w:tcPr>
                  <w:tcW w:type="dxa" w:w="851"/>
                </w:tcPr>
                <w:p>
                  <w:pPr>
                    <w:pStyle w:val="null3"/>
                  </w:pPr>
                  <w:r>
                    <w:rPr>
                      <w:rFonts w:ascii="仿宋_GB2312" w:hAnsi="仿宋_GB2312" w:cs="仿宋_GB2312" w:eastAsia="仿宋_GB2312"/>
                    </w:rPr>
                    <w:t>≤11.6mm</w:t>
                  </w:r>
                </w:p>
              </w:tc>
            </w:tr>
            <w:tr>
              <w:tc>
                <w:tcPr>
                  <w:tcW w:type="dxa" w:w="851"/>
                </w:tcPr>
                <w:p>
                  <w:pPr>
                    <w:pStyle w:val="null3"/>
                  </w:pPr>
                  <w:r>
                    <w:rPr>
                      <w:rFonts w:ascii="仿宋_GB2312" w:hAnsi="仿宋_GB2312" w:cs="仿宋_GB2312" w:eastAsia="仿宋_GB2312"/>
                    </w:rPr>
                    <w:t>2.5</w:t>
                  </w:r>
                </w:p>
              </w:tc>
              <w:tc>
                <w:tcPr>
                  <w:tcW w:type="dxa" w:w="851"/>
                </w:tcPr>
                <w:p>
                  <w:pPr>
                    <w:pStyle w:val="null3"/>
                  </w:pPr>
                  <w:r>
                    <w:rPr>
                      <w:rFonts w:ascii="仿宋_GB2312" w:hAnsi="仿宋_GB2312" w:cs="仿宋_GB2312" w:eastAsia="仿宋_GB2312"/>
                    </w:rPr>
                    <w:t>先端部外径</w:t>
                  </w:r>
                </w:p>
              </w:tc>
              <w:tc>
                <w:tcPr>
                  <w:tcW w:type="dxa" w:w="851"/>
                </w:tcPr>
                <w:p>
                  <w:pPr>
                    <w:pStyle w:val="null3"/>
                  </w:pPr>
                  <w:r>
                    <w:rPr>
                      <w:rFonts w:ascii="仿宋_GB2312" w:hAnsi="仿宋_GB2312" w:cs="仿宋_GB2312" w:eastAsia="仿宋_GB2312"/>
                    </w:rPr>
                    <w:t>≤10.5mm</w:t>
                  </w:r>
                </w:p>
              </w:tc>
            </w:tr>
            <w:tr>
              <w:tc>
                <w:tcPr>
                  <w:tcW w:type="dxa" w:w="851"/>
                </w:tcPr>
                <w:p>
                  <w:pPr>
                    <w:pStyle w:val="null3"/>
                  </w:pPr>
                  <w:r>
                    <w:rPr>
                      <w:rFonts w:ascii="仿宋_GB2312" w:hAnsi="仿宋_GB2312" w:cs="仿宋_GB2312" w:eastAsia="仿宋_GB2312"/>
                    </w:rPr>
                    <w:t>2.6</w:t>
                  </w:r>
                </w:p>
              </w:tc>
              <w:tc>
                <w:tcPr>
                  <w:tcW w:type="dxa" w:w="851"/>
                </w:tcPr>
                <w:p>
                  <w:pPr>
                    <w:pStyle w:val="null3"/>
                  </w:pPr>
                  <w:r>
                    <w:rPr>
                      <w:rFonts w:ascii="仿宋_GB2312" w:hAnsi="仿宋_GB2312" w:cs="仿宋_GB2312" w:eastAsia="仿宋_GB2312"/>
                    </w:rPr>
                    <w:t>内镜管道</w:t>
                  </w:r>
                </w:p>
              </w:tc>
              <w:tc>
                <w:tcPr>
                  <w:tcW w:type="dxa" w:w="851"/>
                </w:tcPr>
                <w:p>
                  <w:pPr>
                    <w:pStyle w:val="null3"/>
                  </w:pPr>
                  <w:r>
                    <w:rPr>
                      <w:rFonts w:ascii="仿宋_GB2312" w:hAnsi="仿宋_GB2312" w:cs="仿宋_GB2312" w:eastAsia="仿宋_GB2312"/>
                    </w:rPr>
                    <w:t>≥3.2mm</w:t>
                  </w:r>
                </w:p>
              </w:tc>
            </w:tr>
            <w:tr>
              <w:tc>
                <w:tcPr>
                  <w:tcW w:type="dxa" w:w="851"/>
                </w:tcPr>
                <w:p>
                  <w:pPr>
                    <w:pStyle w:val="null3"/>
                  </w:pPr>
                  <w:r>
                    <w:rPr>
                      <w:rFonts w:ascii="仿宋_GB2312" w:hAnsi="仿宋_GB2312" w:cs="仿宋_GB2312" w:eastAsia="仿宋_GB2312"/>
                    </w:rPr>
                    <w:t>2.7</w:t>
                  </w:r>
                </w:p>
              </w:tc>
              <w:tc>
                <w:tcPr>
                  <w:tcW w:type="dxa" w:w="851"/>
                </w:tcPr>
                <w:p>
                  <w:pPr>
                    <w:pStyle w:val="null3"/>
                  </w:pPr>
                  <w:r>
                    <w:rPr>
                      <w:rFonts w:ascii="仿宋_GB2312" w:hAnsi="仿宋_GB2312" w:cs="仿宋_GB2312" w:eastAsia="仿宋_GB2312"/>
                    </w:rPr>
                    <w:t>有效长度</w:t>
                  </w:r>
                </w:p>
              </w:tc>
              <w:tc>
                <w:tcPr>
                  <w:tcW w:type="dxa" w:w="851"/>
                </w:tcPr>
                <w:p>
                  <w:pPr>
                    <w:pStyle w:val="null3"/>
                  </w:pPr>
                  <w:r>
                    <w:rPr>
                      <w:rFonts w:ascii="仿宋_GB2312" w:hAnsi="仿宋_GB2312" w:cs="仿宋_GB2312" w:eastAsia="仿宋_GB2312"/>
                    </w:rPr>
                    <w:t>≥1300mm</w:t>
                  </w:r>
                </w:p>
              </w:tc>
            </w:tr>
            <w:tr>
              <w:tc>
                <w:tcPr>
                  <w:tcW w:type="dxa" w:w="851"/>
                </w:tcPr>
                <w:p>
                  <w:pPr>
                    <w:pStyle w:val="null3"/>
                  </w:pPr>
                  <w:r>
                    <w:rPr>
                      <w:rFonts w:ascii="仿宋_GB2312" w:hAnsi="仿宋_GB2312" w:cs="仿宋_GB2312" w:eastAsia="仿宋_GB2312"/>
                    </w:rPr>
                    <w:t>2.8</w:t>
                  </w:r>
                </w:p>
              </w:tc>
              <w:tc>
                <w:tcPr>
                  <w:tcW w:type="dxa" w:w="851"/>
                </w:tcPr>
                <w:p>
                  <w:pPr>
                    <w:pStyle w:val="null3"/>
                  </w:pPr>
                  <w:r>
                    <w:rPr>
                      <w:rFonts w:ascii="仿宋_GB2312" w:hAnsi="仿宋_GB2312" w:cs="仿宋_GB2312" w:eastAsia="仿宋_GB2312"/>
                    </w:rPr>
                    <w:t>全长</w:t>
                  </w:r>
                </w:p>
              </w:tc>
              <w:tc>
                <w:tcPr>
                  <w:tcW w:type="dxa" w:w="851"/>
                </w:tcPr>
                <w:p>
                  <w:pPr>
                    <w:pStyle w:val="null3"/>
                  </w:pPr>
                  <w:r>
                    <w:rPr>
                      <w:rFonts w:ascii="仿宋_GB2312" w:hAnsi="仿宋_GB2312" w:cs="仿宋_GB2312" w:eastAsia="仿宋_GB2312"/>
                    </w:rPr>
                    <w:t>≥1600mm</w:t>
                  </w:r>
                </w:p>
              </w:tc>
            </w:tr>
            <w:tr>
              <w:tc>
                <w:tcPr>
                  <w:tcW w:type="dxa" w:w="851"/>
                </w:tcPr>
                <w:p>
                  <w:pPr>
                    <w:pStyle w:val="null3"/>
                  </w:pPr>
                  <w:r>
                    <w:rPr>
                      <w:rFonts w:ascii="仿宋_GB2312" w:hAnsi="仿宋_GB2312" w:cs="仿宋_GB2312" w:eastAsia="仿宋_GB2312"/>
                    </w:rPr>
                    <w:t>2.9</w:t>
                  </w:r>
                </w:p>
              </w:tc>
              <w:tc>
                <w:tcPr>
                  <w:tcW w:type="dxa" w:w="851"/>
                </w:tcPr>
                <w:p>
                  <w:pPr>
                    <w:pStyle w:val="null3"/>
                  </w:pPr>
                  <w:r>
                    <w:rPr>
                      <w:rFonts w:ascii="仿宋_GB2312" w:hAnsi="仿宋_GB2312" w:cs="仿宋_GB2312" w:eastAsia="仿宋_GB2312"/>
                    </w:rPr>
                    <w:t>内镜180度旋转功能</w:t>
                  </w:r>
                </w:p>
              </w:tc>
              <w:tc>
                <w:tcPr>
                  <w:tcW w:type="dxa" w:w="851"/>
                </w:tcPr>
                <w:p>
                  <w:pPr>
                    <w:pStyle w:val="null3"/>
                  </w:pPr>
                  <w:r>
                    <w:rPr>
                      <w:rFonts w:ascii="仿宋_GB2312" w:hAnsi="仿宋_GB2312" w:cs="仿宋_GB2312" w:eastAsia="仿宋_GB2312"/>
                    </w:rPr>
                    <w:t>保护导光束延长使用寿命，降低操作疲劳感</w:t>
                  </w:r>
                </w:p>
              </w:tc>
            </w:tr>
            <w:tr>
              <w:tc>
                <w:tcPr>
                  <w:tcW w:type="dxa" w:w="851"/>
                </w:tcPr>
                <w:p>
                  <w:pPr>
                    <w:pStyle w:val="null3"/>
                  </w:pPr>
                  <w:r>
                    <w:rPr>
                      <w:rFonts w:ascii="仿宋_GB2312" w:hAnsi="仿宋_GB2312" w:cs="仿宋_GB2312" w:eastAsia="仿宋_GB2312"/>
                    </w:rPr>
                    <w:t>2.10</w:t>
                  </w:r>
                </w:p>
              </w:tc>
              <w:tc>
                <w:tcPr>
                  <w:tcW w:type="dxa" w:w="851"/>
                </w:tcPr>
                <w:p>
                  <w:pPr>
                    <w:pStyle w:val="null3"/>
                  </w:pPr>
                  <w:r>
                    <w:rPr>
                      <w:rFonts w:ascii="仿宋_GB2312" w:hAnsi="仿宋_GB2312" w:cs="仿宋_GB2312" w:eastAsia="仿宋_GB2312"/>
                    </w:rPr>
                    <w:t>向前射水功能</w:t>
                  </w:r>
                </w:p>
              </w:tc>
              <w:tc>
                <w:tcPr>
                  <w:tcW w:type="dxa" w:w="851"/>
                </w:tcPr>
                <w:p>
                  <w:pPr>
                    <w:pStyle w:val="null3"/>
                  </w:pPr>
                  <w:r>
                    <w:rPr>
                      <w:rFonts w:ascii="仿宋_GB2312" w:hAnsi="仿宋_GB2312" w:cs="仿宋_GB2312" w:eastAsia="仿宋_GB2312"/>
                    </w:rPr>
                    <w:t>具备</w:t>
                  </w:r>
                </w:p>
              </w:tc>
            </w:tr>
            <w:tr>
              <w:tc>
                <w:tcPr>
                  <w:tcW w:type="dxa" w:w="851"/>
                </w:tcPr>
                <w:p>
                  <w:pPr>
                    <w:pStyle w:val="null3"/>
                  </w:pPr>
                  <w:r>
                    <w:rPr>
                      <w:rFonts w:ascii="仿宋_GB2312" w:hAnsi="仿宋_GB2312" w:cs="仿宋_GB2312" w:eastAsia="仿宋_GB2312"/>
                    </w:rPr>
                    <w:t>2.11</w:t>
                  </w:r>
                </w:p>
              </w:tc>
              <w:tc>
                <w:tcPr>
                  <w:tcW w:type="dxa" w:w="851"/>
                </w:tcPr>
                <w:p>
                  <w:pPr>
                    <w:pStyle w:val="null3"/>
                  </w:pPr>
                  <w:r>
                    <w:rPr>
                      <w:rFonts w:ascii="仿宋_GB2312" w:hAnsi="仿宋_GB2312" w:cs="仿宋_GB2312" w:eastAsia="仿宋_GB2312"/>
                    </w:rPr>
                    <w:t>电子染色功能</w:t>
                  </w:r>
                </w:p>
              </w:tc>
              <w:tc>
                <w:tcPr>
                  <w:tcW w:type="dxa" w:w="851"/>
                </w:tcPr>
                <w:p>
                  <w:pPr>
                    <w:pStyle w:val="null3"/>
                  </w:pPr>
                  <w:r>
                    <w:rPr>
                      <w:rFonts w:ascii="仿宋_GB2312" w:hAnsi="仿宋_GB2312" w:cs="仿宋_GB2312" w:eastAsia="仿宋_GB2312"/>
                    </w:rPr>
                    <w:t>具备</w:t>
                  </w:r>
                </w:p>
              </w:tc>
            </w:tr>
            <w:tr>
              <w:tc>
                <w:tcPr>
                  <w:tcW w:type="dxa" w:w="851"/>
                </w:tcPr>
                <w:p>
                  <w:pPr>
                    <w:pStyle w:val="null3"/>
                  </w:pPr>
                  <w:r>
                    <w:rPr>
                      <w:rFonts w:ascii="仿宋_GB2312" w:hAnsi="仿宋_GB2312" w:cs="仿宋_GB2312" w:eastAsia="仿宋_GB2312"/>
                    </w:rPr>
                    <w:t>2.12</w:t>
                  </w:r>
                </w:p>
              </w:tc>
              <w:tc>
                <w:tcPr>
                  <w:tcW w:type="dxa" w:w="1702"/>
                  <w:gridSpan w:val="2"/>
                </w:tcPr>
                <w:p>
                  <w:pPr>
                    <w:pStyle w:val="null3"/>
                  </w:pPr>
                  <w:r>
                    <w:rPr>
                      <w:rFonts w:ascii="仿宋_GB2312" w:hAnsi="仿宋_GB2312" w:cs="仿宋_GB2312" w:eastAsia="仿宋_GB2312"/>
                    </w:rPr>
                    <w:t>能够与院内现有宾得内镜主机（EPK-i5000）配套使用</w:t>
                  </w:r>
                </w:p>
              </w:tc>
            </w:tr>
          </w:tbl>
          <w:p>
            <w:pPr>
              <w:pStyle w:val="null3"/>
            </w:pPr>
            <w:r>
              <w:rPr>
                <w:rFonts w:ascii="仿宋_GB2312" w:hAnsi="仿宋_GB2312" w:cs="仿宋_GB2312" w:eastAsia="仿宋_GB2312"/>
              </w:rPr>
              <w:t>以上参数，供应商须完全响应，否则按无效文件处理。</w:t>
            </w:r>
          </w:p>
          <w:p>
            <w:pPr>
              <w:pStyle w:val="null3"/>
            </w:pPr>
            <w:r>
              <w:rPr>
                <w:rFonts w:ascii="仿宋_GB2312" w:hAnsi="仿宋_GB2312" w:cs="仿宋_GB2312" w:eastAsia="仿宋_GB2312"/>
              </w:rPr>
              <w:t>三、其他要求</w:t>
            </w:r>
          </w:p>
          <w:p>
            <w:pPr>
              <w:pStyle w:val="null3"/>
            </w:pPr>
            <w:r>
              <w:rPr>
                <w:rFonts w:ascii="仿宋_GB2312" w:hAnsi="仿宋_GB2312" w:cs="仿宋_GB2312" w:eastAsia="仿宋_GB2312"/>
              </w:rPr>
              <w:t>1.质量要求：供货商应当保证所供货物的来源渠道正常，设备是全新的、未使用过的、且完全符合医院对货物质量、规格、技术指标等的要求，并在质保期内。另外，供货商应对由于设备设计、工艺或材料的缺陷而产生的质量问题负责。</w:t>
            </w:r>
          </w:p>
          <w:p>
            <w:pPr>
              <w:pStyle w:val="null3"/>
            </w:pPr>
            <w:r>
              <w:rPr>
                <w:rFonts w:ascii="仿宋_GB2312" w:hAnsi="仿宋_GB2312" w:cs="仿宋_GB2312" w:eastAsia="仿宋_GB2312"/>
              </w:rPr>
              <w:t>2.售后服务：</w:t>
            </w:r>
          </w:p>
          <w:p>
            <w:pPr>
              <w:pStyle w:val="null3"/>
            </w:pPr>
            <w:r>
              <w:rPr>
                <w:rFonts w:ascii="仿宋_GB2312" w:hAnsi="仿宋_GB2312" w:cs="仿宋_GB2312" w:eastAsia="仿宋_GB2312"/>
              </w:rPr>
              <w:t>①设备故障维修响应时间不得超过2小时，24小时内维修工程师必须到达现场，排除故障不得超过48小时，发生的全部费用由供货商承担，若需送回生产厂，供货商承担往返费用，若供货商在接到通知后未在24小时内派人到场进行维修，医院有权自主进行维修，由此产生的费用由供货商承担并赔偿医院因此造成的损失，同时定期派技术人员到现场走访，给予检查维护。保修期内，每季度对设备提供一次保养服务。质保期届满前30日内，供货商应对所有产品进行全面检测、保养、维护。</w:t>
            </w:r>
          </w:p>
          <w:p>
            <w:pPr>
              <w:pStyle w:val="null3"/>
            </w:pPr>
            <w:r>
              <w:rPr>
                <w:rFonts w:ascii="仿宋_GB2312" w:hAnsi="仿宋_GB2312" w:cs="仿宋_GB2312" w:eastAsia="仿宋_GB2312"/>
              </w:rPr>
              <w:t>②所有产品须提供需要与医院现有各项信息化对接口的所有事宜，包括后期一系列升级工作（费用均包含在本项目报价中，后期不额外收费）。</w:t>
            </w:r>
          </w:p>
          <w:p>
            <w:pPr>
              <w:pStyle w:val="null3"/>
            </w:pPr>
            <w:r>
              <w:rPr>
                <w:rFonts w:ascii="仿宋_GB2312" w:hAnsi="仿宋_GB2312" w:cs="仿宋_GB2312" w:eastAsia="仿宋_GB2312"/>
              </w:rPr>
              <w:t>3.培训要求：</w:t>
            </w:r>
          </w:p>
          <w:p>
            <w:pPr>
              <w:pStyle w:val="null3"/>
            </w:pPr>
            <w:r>
              <w:rPr>
                <w:rFonts w:ascii="仿宋_GB2312" w:hAnsi="仿宋_GB2312" w:cs="仿宋_GB2312" w:eastAsia="仿宋_GB2312"/>
              </w:rPr>
              <w:t>供应商应提供现场技术培训（至少一次），保证医院使用人员正常操作产品的各种功能，维护保养及其他必备知识。</w:t>
            </w:r>
          </w:p>
          <w:p>
            <w:pPr>
              <w:pStyle w:val="null3"/>
            </w:pPr>
            <w:r>
              <w:rPr>
                <w:rFonts w:ascii="仿宋_GB2312" w:hAnsi="仿宋_GB2312" w:cs="仿宋_GB2312" w:eastAsia="仿宋_GB2312"/>
              </w:rPr>
              <w:t>上述要求，供应商须完全响应，否则按无效文件处理。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供货商接到医院送货通知之日起15个日历日之内交货，并完成货物的安装、调试等，且能够正常使用。到货距产品出厂日期不超过6个月。</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西安市第九医院指定地点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所有货物到达采购方指定地点，安装、调试完毕、验收合格后，成交供应商持本合同总价款的全额增值税发票、本合同、安装培训单及验收单到采购方办理资金结算</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1.货物到达医院指定地点后，供货商在使用单位人员在场情况下当面开箱，共同清点、检查外观。 2.供货商应保证货物到达医院时完好无损，如有缺漏、损坏，由供货商负责调换、补齐或赔偿。 3.供货商应提供完备的技术资料、装箱单和合格证等，并派遣专业技术人员进行现场安装调试。验收合格条件如下： 3.1设备技术参数与采购合同一致，性能指标达到规定的标准。 3.2货物技术资料、装箱单、合格证等资料齐全。 3.3在系统试运行期间所出现的问题得到解决，并运行正常。 3.4在规定时间内完成交货并验收，并经采购人确认。 4.产品在安装调试并试运行符合要求后，才作为最终验收。 5.供货商提供的货物未达到采购文件规定要求，且对医院造成损失的，由供货商承担一切责任，并赔偿所造成的损失。 6.采购人需要制造商对供货商交付的产品（包括质量、技术参数等）进行确认的，制造商应予以配合，并出具书面意见。</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（1）包装：必须适应货物特性和交通运输要求，以及国家有关标准或企业标准。在装卸、运输和仓储过程中有足够的包装保护，防止货物受潮、锈蚀、遭受冲撞及其他不可预见的损坏。 （2）运输：供应商负责完成产品及相关物件的包装、运输，且承担一切运输费用，包括但不限于运输费、装卸费、仓储费、保险费等。</w:t>
      </w:r>
    </w:p>
    <w:p>
      <w:pPr>
        <w:pStyle w:val="null3"/>
        <w:ind w:firstLine="480"/>
        <w:jc w:val="left"/>
      </w:pPr>
      <w:r>
        <w:rPr>
          <w:rFonts w:ascii="仿宋_GB2312" w:hAnsi="仿宋_GB2312" w:cs="仿宋_GB2312" w:eastAsia="仿宋_GB2312"/>
        </w:rPr>
        <w:t xml:space="preserve">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至少三年，质保期自采购方签发验收单之日起计算</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（一）按《民法典》《政府采购法》等相关规定和本合同的约定执行。 （二）乙方未按本合同的约定提供货物的，应承担违约责任、赔偿甲方的损失，且甲方有权解除本合同、有权决定是否退换货；若退货的，乙方除了承担以上责任外，还应返还甲方支付的所有款项；若换货的，乙方必须于 2日内无条件更换，换货的所有费用由乙方承担，且乙方应承担违约责任、赔偿甲方的损失。 （三）乙方未按本合同的约定提供服务的，应承担违约责任、赔偿甲方的损失，且甲方有权解除本合同。 （四）乙方逾期交货的，每逾期一日，按照合同总金额的1%承担违约责任；逾期交货30天以上的，甲方有权解除本合同，乙方除承担违约责任外，还应赔偿甲方的损失。 （五）甲方未按照本合同约定支付价款的，甲方应承担违约责任。 （六）本合同所涉“违约责任”为支付合同总价款30%的违约金；本合同所涉“赔偿甲方的损失”包括但不限于甲方重新采购产生的所有费用、经营损失、甲方维权费用（如诉讼费、保全费、公证费、律师费）等直接损失和间接损失，且甲方的损失至少为本合同总价款的10%。 （七）本合同所涉违约金及赔偿甲方的损失，甲方均可直接从履约保证金中扣减。 （八）解除合同的，自书面解除通知到达对方即解除。 （九）双方拟定的其他条款。</w:t>
      </w:r>
    </w:p>
    <w:p>
      <w:pPr>
        <w:pStyle w:val="null3"/>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本项目落实《国务院办公厅关于在政府采购中实施本国产品标准及相关政策的通知 》-（国办发〔2025〕34号）政策： 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供应商享受对本国产品的支持政策的，对其提供的产品出具符合要求的《关于符合本国产品标准的声明函》或财政部会同有关部门规定的有关证明文件后，可用扣除后的价格参与评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3月（含3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3月（含3月）以来至少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⑤参加本次政府采购活动前3年内在经营活动中没有重大违纪，以及未被列入失信被执行人、重大税收违法失信主体名单、政府采购严重违法失信行为记录名单的书面声明。</w:t>
            </w:r>
          </w:p>
        </w:tc>
        <w:tc>
          <w:tcPr>
            <w:tcW w:type="dxa" w:w="1661"/>
          </w:tcPr>
          <w:p>
            <w:pPr>
              <w:pStyle w:val="null3"/>
            </w:pPr>
            <w:r>
              <w:rPr>
                <w:rFonts w:ascii="仿宋_GB2312" w:hAnsi="仿宋_GB2312" w:cs="仿宋_GB2312" w:eastAsia="仿宋_GB2312"/>
              </w:rPr>
              <w:t>2资格证明文件.docx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财务状况报告：法人提供会计师事务所出具有效的2024年度或2025年度审计报告（审计报告须具有注册会计师行业统一监管平台赋予的验证码）（成立时间至提交投标文件截止时间不足一年的可提供成立后任意时段的资产负债表），或提交自2025年8月1日以来银行出具的资信证明，或信用担保机构出具的投标担保函（以上三种形式的资料提供任何一种即可）；其他组织和自然人提供银行出具的资信证明或财务报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法定代表人参加协商的，须提供法定代表人身份证；法定代表人授权本单位他人参加协商的，须提供法定代表人授权委托书及被授权代表开标截止前三个月内任意一个月在本单位的社会保险缴纳证明。</w:t>
            </w:r>
          </w:p>
        </w:tc>
        <w:tc>
          <w:tcPr>
            <w:tcW w:type="dxa" w:w="1661"/>
          </w:tcPr>
          <w:p>
            <w:pPr>
              <w:pStyle w:val="null3"/>
            </w:pPr>
            <w:r>
              <w:rPr>
                <w:rFonts w:ascii="仿宋_GB2312" w:hAnsi="仿宋_GB2312" w:cs="仿宋_GB2312" w:eastAsia="仿宋_GB2312"/>
              </w:rPr>
              <w:t>2资格证明文件.docx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w:t>
            </w:r>
          </w:p>
        </w:tc>
        <w:tc>
          <w:tcPr>
            <w:tcW w:type="dxa" w:w="3322"/>
          </w:tcPr>
          <w:p>
            <w:pPr>
              <w:pStyle w:val="null3"/>
            </w:pPr>
            <w:r>
              <w:rPr>
                <w:rFonts w:ascii="仿宋_GB2312" w:hAnsi="仿宋_GB2312" w:cs="仿宋_GB2312" w:eastAsia="仿宋_GB2312"/>
              </w:rPr>
              <w:t>所投产品为进口产品的，须提供所投产品厂家授权书或总代理商授权书（提供总代理商授权书的须出具有效授权权限的相关证明文件，证明文件须能显示产品制造厂家对所投产品授权链条的完整性）。</w:t>
            </w:r>
          </w:p>
        </w:tc>
        <w:tc>
          <w:tcPr>
            <w:tcW w:type="dxa" w:w="1661"/>
          </w:tcPr>
          <w:p>
            <w:pPr>
              <w:pStyle w:val="null3"/>
            </w:pPr>
            <w:r>
              <w:rPr>
                <w:rFonts w:ascii="仿宋_GB2312" w:hAnsi="仿宋_GB2312" w:cs="仿宋_GB2312" w:eastAsia="仿宋_GB2312"/>
              </w:rPr>
              <w:t>2资格证明文件.docx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医疗器械经营许可</w:t>
            </w:r>
          </w:p>
        </w:tc>
        <w:tc>
          <w:tcPr>
            <w:tcW w:type="dxa" w:w="3322"/>
          </w:tcPr>
          <w:p>
            <w:pPr>
              <w:pStyle w:val="null3"/>
            </w:pPr>
            <w:r>
              <w:rPr>
                <w:rFonts w:ascii="仿宋_GB2312" w:hAnsi="仿宋_GB2312" w:cs="仿宋_GB2312" w:eastAsia="仿宋_GB2312"/>
              </w:rPr>
              <w:t>所投产品属于医疗器械管理的，应出具供应商的医疗器械经营许可证或医疗器械经营备案凭证。</w:t>
            </w:r>
          </w:p>
        </w:tc>
        <w:tc>
          <w:tcPr>
            <w:tcW w:type="dxa" w:w="1661"/>
          </w:tcPr>
          <w:p>
            <w:pPr>
              <w:pStyle w:val="null3"/>
            </w:pPr>
            <w:r>
              <w:rPr>
                <w:rFonts w:ascii="仿宋_GB2312" w:hAnsi="仿宋_GB2312" w:cs="仿宋_GB2312" w:eastAsia="仿宋_GB2312"/>
              </w:rPr>
              <w:t>2资格证明文件.docx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医疗器械注册证或备案证</w:t>
            </w:r>
          </w:p>
        </w:tc>
        <w:tc>
          <w:tcPr>
            <w:tcW w:type="dxa" w:w="3322"/>
          </w:tcPr>
          <w:p>
            <w:pPr>
              <w:pStyle w:val="null3"/>
            </w:pPr>
            <w:r>
              <w:rPr>
                <w:rFonts w:ascii="仿宋_GB2312" w:hAnsi="仿宋_GB2312" w:cs="仿宋_GB2312" w:eastAsia="仿宋_GB2312"/>
              </w:rPr>
              <w:t>所投产品属于医疗器械管理的，提供所投产品的医疗器械注册证或备案证。</w:t>
            </w:r>
          </w:p>
        </w:tc>
        <w:tc>
          <w:tcPr>
            <w:tcW w:type="dxa" w:w="1661"/>
          </w:tcPr>
          <w:p>
            <w:pPr>
              <w:pStyle w:val="null3"/>
            </w:pPr>
            <w:r>
              <w:rPr>
                <w:rFonts w:ascii="仿宋_GB2312" w:hAnsi="仿宋_GB2312" w:cs="仿宋_GB2312" w:eastAsia="仿宋_GB2312"/>
              </w:rPr>
              <w:t>2资格证明文件.docx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jc w:val="left"/>
      </w:pPr>
      <w:r>
        <w:rPr>
          <w:rFonts w:ascii="仿宋_GB2312" w:hAnsi="仿宋_GB2312" w:cs="仿宋_GB2312" w:eastAsia="仿宋_GB2312"/>
        </w:rPr>
        <w:t>（一）熟悉和理解单一来源采购文件；</w:t>
      </w:r>
    </w:p>
    <w:p>
      <w:pPr>
        <w:pStyle w:val="null3"/>
        <w:ind w:firstLine="480"/>
        <w:jc w:val="left"/>
      </w:pPr>
      <w:r>
        <w:rPr>
          <w:rFonts w:ascii="仿宋_GB2312" w:hAnsi="仿宋_GB2312" w:cs="仿宋_GB2312" w:eastAsia="仿宋_GB2312"/>
        </w:rPr>
        <w:t xml:space="preserve"> （二）审查供应商响应文件等是否满足单一来源采购文件要求，并作出评价；</w:t>
      </w:r>
    </w:p>
    <w:p>
      <w:pPr>
        <w:pStyle w:val="null3"/>
        <w:ind w:firstLine="480"/>
        <w:jc w:val="left"/>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jc w:val="left"/>
      </w:pPr>
      <w:r>
        <w:rPr>
          <w:rFonts w:ascii="仿宋_GB2312" w:hAnsi="仿宋_GB2312" w:cs="仿宋_GB2312" w:eastAsia="仿宋_GB2312"/>
        </w:rPr>
        <w:t>（四）推荐成交候选供应商，或者受采购人委托确定成交供应商；</w:t>
      </w:r>
    </w:p>
    <w:p>
      <w:pPr>
        <w:pStyle w:val="null3"/>
        <w:ind w:firstLine="480"/>
        <w:jc w:val="left"/>
      </w:pPr>
      <w:r>
        <w:rPr>
          <w:rFonts w:ascii="仿宋_GB2312" w:hAnsi="仿宋_GB2312" w:cs="仿宋_GB2312" w:eastAsia="仿宋_GB2312"/>
        </w:rPr>
        <w:t>（五）起草评审报告并进行签署；</w:t>
      </w:r>
    </w:p>
    <w:p>
      <w:pPr>
        <w:pStyle w:val="null3"/>
        <w:ind w:firstLine="480"/>
        <w:jc w:val="left"/>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3"/>
      </w:pPr>
      <w:r>
        <w:rPr>
          <w:rFonts w:ascii="仿宋_GB2312" w:hAnsi="仿宋_GB2312" w:cs="仿宋_GB2312" w:eastAsia="仿宋_GB2312"/>
          <w:sz w:val="24"/>
          <w:b/>
        </w:rPr>
        <w:t>5.2.2.熟悉和理解采购文件和停止评审</w:t>
      </w:r>
    </w:p>
    <w:p>
      <w:pPr>
        <w:pStyle w:val="null3"/>
        <w:ind w:firstLine="480"/>
        <w:jc w:val="left"/>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jc w:val="left"/>
      </w:pPr>
      <w:r>
        <w:rPr>
          <w:rFonts w:ascii="仿宋_GB2312" w:hAnsi="仿宋_GB2312" w:cs="仿宋_GB2312" w:eastAsia="仿宋_GB2312"/>
        </w:rPr>
        <w:t>二、本采购文件有下列情形之一的，协商小组应当停止评审：</w:t>
      </w:r>
    </w:p>
    <w:p>
      <w:pPr>
        <w:pStyle w:val="null3"/>
        <w:ind w:firstLine="480"/>
        <w:jc w:val="left"/>
      </w:pPr>
      <w:r>
        <w:rPr>
          <w:rFonts w:ascii="仿宋_GB2312" w:hAnsi="仿宋_GB2312" w:cs="仿宋_GB2312" w:eastAsia="仿宋_GB2312"/>
        </w:rPr>
        <w:t>（一）采购文件的规定存在歧义、重大缺陷的；</w:t>
      </w:r>
    </w:p>
    <w:p>
      <w:pPr>
        <w:pStyle w:val="null3"/>
        <w:ind w:firstLine="480"/>
        <w:jc w:val="left"/>
      </w:pPr>
      <w:r>
        <w:rPr>
          <w:rFonts w:ascii="仿宋_GB2312" w:hAnsi="仿宋_GB2312" w:cs="仿宋_GB2312" w:eastAsia="仿宋_GB2312"/>
        </w:rPr>
        <w:t>（二）采购文件明显以不合理条件对供应商实行差别待遇或者歧视待遇的；</w:t>
      </w:r>
    </w:p>
    <w:p>
      <w:pPr>
        <w:pStyle w:val="null3"/>
        <w:ind w:firstLine="480"/>
        <w:jc w:val="left"/>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jc w:val="left"/>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jc w:val="left"/>
      </w:pPr>
      <w:r>
        <w:rPr>
          <w:rFonts w:ascii="仿宋_GB2312" w:hAnsi="仿宋_GB2312" w:cs="仿宋_GB2312" w:eastAsia="仿宋_GB2312"/>
        </w:rPr>
        <w:t>（五）采购文件将供应商的资格条件列为评分因素的；</w:t>
      </w:r>
    </w:p>
    <w:p>
      <w:pPr>
        <w:pStyle w:val="null3"/>
        <w:ind w:firstLine="480"/>
        <w:jc w:val="left"/>
      </w:pPr>
      <w:r>
        <w:rPr>
          <w:rFonts w:ascii="仿宋_GB2312" w:hAnsi="仿宋_GB2312" w:cs="仿宋_GB2312" w:eastAsia="仿宋_GB2312"/>
        </w:rPr>
        <w:t>（六）采购文件载明的成交原则不合法的；</w:t>
      </w:r>
    </w:p>
    <w:p>
      <w:pPr>
        <w:pStyle w:val="null3"/>
        <w:ind w:firstLine="480"/>
        <w:jc w:val="left"/>
      </w:pPr>
      <w:r>
        <w:rPr>
          <w:rFonts w:ascii="仿宋_GB2312" w:hAnsi="仿宋_GB2312" w:cs="仿宋_GB2312" w:eastAsia="仿宋_GB2312"/>
        </w:rPr>
        <w:t>（七）采购文件有违反国家其他有关强制性规定的情形。</w:t>
      </w:r>
    </w:p>
    <w:p>
      <w:pPr>
        <w:pStyle w:val="null3"/>
        <w:ind w:firstLine="480"/>
        <w:jc w:val="left"/>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评标过程中，评审小组认为供应商报价明显低于其他通过符合性审查供应商的报价，有可能影响产品质量或者不能诚信履约的，评审小组应当要求其在合理的时间内在项目电子化交易系统中上传说明材料，必要时提交相关证明材料。供应商提交的相关证明材料，应当加盖供应商（法定名称）电子印章，在评审小组要求的时间内通过项目电子化交易系统进行提交，否则提交的相关证明材料无效。供应商不能证明其报价合理性的，评审小组应当将其响应文件作为无效处理。 （二）政府采购评审中出现下列情形之一的，评审委员会应当启动异常低价投标（响应）审查程序：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响应文件按照单一来源文件规定要求签署、盖章的</w:t>
            </w:r>
          </w:p>
        </w:tc>
        <w:tc>
          <w:tcPr>
            <w:tcW w:type="dxa" w:w="1661"/>
          </w:tcPr>
          <w:p>
            <w:pPr>
              <w:pStyle w:val="null3"/>
            </w:pPr>
            <w:r>
              <w:rPr>
                <w:rFonts w:ascii="仿宋_GB2312" w:hAnsi="仿宋_GB2312" w:cs="仿宋_GB2312" w:eastAsia="仿宋_GB2312"/>
              </w:rPr>
              <w:t>响应文件封面 4承诺书.docx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投标有效期满足单一来源文件要求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总报价未超过单一来源文件中规定的最高限价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满足本单一来源文件中的3.4商务要求中交货时间、交货地点、支付约定、质量保修范围和保修期要求的</w:t>
            </w:r>
          </w:p>
        </w:tc>
        <w:tc>
          <w:tcPr>
            <w:tcW w:type="dxa" w:w="1661"/>
          </w:tcPr>
          <w:p>
            <w:pPr>
              <w:pStyle w:val="null3"/>
            </w:pPr>
            <w:r>
              <w:rPr>
                <w:rFonts w:ascii="仿宋_GB2312" w:hAnsi="仿宋_GB2312" w:cs="仿宋_GB2312" w:eastAsia="仿宋_GB2312"/>
              </w:rPr>
              <w:t>3商务部分偏离表.docx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“无重大利益关系声明函”</w:t>
            </w:r>
          </w:p>
        </w:tc>
        <w:tc>
          <w:tcPr>
            <w:tcW w:type="dxa" w:w="3322"/>
          </w:tcPr>
          <w:p>
            <w:pPr>
              <w:pStyle w:val="null3"/>
            </w:pPr>
            <w:r>
              <w:rPr>
                <w:rFonts w:ascii="仿宋_GB2312" w:hAnsi="仿宋_GB2312" w:cs="仿宋_GB2312" w:eastAsia="仿宋_GB2312"/>
              </w:rPr>
              <w:t>按照单一来源文件要求提供“无重大利益关系声明函”</w:t>
            </w:r>
          </w:p>
        </w:tc>
        <w:tc>
          <w:tcPr>
            <w:tcW w:type="dxa" w:w="1661"/>
          </w:tcPr>
          <w:p>
            <w:pPr>
              <w:pStyle w:val="null3"/>
            </w:pPr>
            <w:r>
              <w:rPr>
                <w:rFonts w:ascii="仿宋_GB2312" w:hAnsi="仿宋_GB2312" w:cs="仿宋_GB2312" w:eastAsia="仿宋_GB2312"/>
              </w:rPr>
              <w:t>13无重大利益关系声明函.docx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无其他不符合法律、规章文件和单一来源文件规定的情形</w:t>
            </w:r>
          </w:p>
        </w:tc>
        <w:tc>
          <w:tcPr>
            <w:tcW w:type="dxa" w:w="1661"/>
          </w:tcPr>
          <w:p>
            <w:pPr>
              <w:pStyle w:val="null3"/>
            </w:pPr>
            <w:r>
              <w:rPr>
                <w:rFonts w:ascii="仿宋_GB2312" w:hAnsi="仿宋_GB2312" w:cs="仿宋_GB2312" w:eastAsia="仿宋_GB2312"/>
              </w:rPr>
              <w:t>11供应商认为需提供的其他资料.docx 6供应商基本情况表.docx 5技术响应与偏离表.docx 中小企业声明函 残疾人福利性单位声明函 7实施方案.docx 1分项价格表.docx 8供应商相关专利、专有技术情况说明.docx 9同类项目合同价格说明.docx 12关于符合本国产品标准的声明函.docx 10采购标的成本说明.docx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一、协商会议在项目电子化交易系统进行。协商会议由代理机构在线主持，供应商代表在线参加。</w:t>
      </w:r>
    </w:p>
    <w:p>
      <w:pPr>
        <w:pStyle w:val="null3"/>
        <w:ind w:firstLine="480"/>
      </w:pPr>
      <w:r>
        <w:rPr>
          <w:rFonts w:ascii="仿宋_GB2312" w:hAnsi="仿宋_GB2312" w:cs="仿宋_GB2312" w:eastAsia="仿宋_GB2312"/>
        </w:rPr>
        <w:t>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jc w:val="left"/>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jc w:val="left"/>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jc w:val="left"/>
      </w:pPr>
      <w:r>
        <w:rPr>
          <w:rFonts w:ascii="仿宋_GB2312" w:hAnsi="仿宋_GB2312" w:cs="仿宋_GB2312" w:eastAsia="仿宋_GB2312"/>
        </w:rPr>
        <w:t>（一）因情况变化，不再符合规定的单一来源采购方式适用情形的；</w:t>
      </w:r>
    </w:p>
    <w:p>
      <w:pPr>
        <w:pStyle w:val="null3"/>
        <w:jc w:val="left"/>
      </w:pPr>
      <w:r>
        <w:rPr>
          <w:rFonts w:ascii="仿宋_GB2312" w:hAnsi="仿宋_GB2312" w:cs="仿宋_GB2312" w:eastAsia="仿宋_GB2312"/>
        </w:rPr>
        <w:t>（二）出现影响采购公正的违法、违规行为的；</w:t>
      </w:r>
    </w:p>
    <w:p>
      <w:pPr>
        <w:pStyle w:val="null3"/>
        <w:jc w:val="left"/>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 xml:space="preserve"> 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详见附件：2资格证明文件.docx</w:t>
      </w:r>
    </w:p>
    <w:p>
      <w:pPr>
        <w:pStyle w:val="null3"/>
        <w:ind w:firstLine="960"/>
      </w:pPr>
      <w:r>
        <w:rPr>
          <w:rFonts w:ascii="仿宋_GB2312" w:hAnsi="仿宋_GB2312" w:cs="仿宋_GB2312" w:eastAsia="仿宋_GB2312"/>
        </w:rPr>
        <w:t>详见附件：3商务部分偏离表.docx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详见附件：6供应商基本情况表.docx</w:t>
      </w:r>
    </w:p>
    <w:p>
      <w:pPr>
        <w:pStyle w:val="null3"/>
        <w:ind w:firstLine="960"/>
      </w:pPr>
      <w:r>
        <w:rPr>
          <w:rFonts w:ascii="仿宋_GB2312" w:hAnsi="仿宋_GB2312" w:cs="仿宋_GB2312" w:eastAsia="仿宋_GB2312"/>
        </w:rPr>
        <w:t>详见附件：7实施方案.docx</w:t>
      </w:r>
    </w:p>
    <w:p>
      <w:pPr>
        <w:pStyle w:val="null3"/>
        <w:ind w:firstLine="960"/>
      </w:pPr>
      <w:r>
        <w:rPr>
          <w:rFonts w:ascii="仿宋_GB2312" w:hAnsi="仿宋_GB2312" w:cs="仿宋_GB2312" w:eastAsia="仿宋_GB2312"/>
        </w:rPr>
        <w:t>详见附件：8供应商相关专利、专有技术情况说明.docx</w:t>
      </w:r>
    </w:p>
    <w:p>
      <w:pPr>
        <w:pStyle w:val="null3"/>
        <w:ind w:firstLine="960"/>
      </w:pPr>
      <w:r>
        <w:rPr>
          <w:rFonts w:ascii="仿宋_GB2312" w:hAnsi="仿宋_GB2312" w:cs="仿宋_GB2312" w:eastAsia="仿宋_GB2312"/>
        </w:rPr>
        <w:t>详见附件：9同类项目合同价格说明.docx</w:t>
      </w:r>
    </w:p>
    <w:p>
      <w:pPr>
        <w:pStyle w:val="null3"/>
        <w:ind w:firstLine="960"/>
      </w:pPr>
      <w:r>
        <w:rPr>
          <w:rFonts w:ascii="仿宋_GB2312" w:hAnsi="仿宋_GB2312" w:cs="仿宋_GB2312" w:eastAsia="仿宋_GB2312"/>
        </w:rPr>
        <w:t>详见附件：10采购标的成本说明.docx</w:t>
      </w:r>
    </w:p>
    <w:p>
      <w:pPr>
        <w:pStyle w:val="null3"/>
        <w:ind w:firstLine="960"/>
      </w:pPr>
      <w:r>
        <w:rPr>
          <w:rFonts w:ascii="仿宋_GB2312" w:hAnsi="仿宋_GB2312" w:cs="仿宋_GB2312" w:eastAsia="仿宋_GB2312"/>
        </w:rPr>
        <w:t>详见附件：11供应商认为需提供的其他资料.docx</w:t>
      </w:r>
    </w:p>
    <w:p>
      <w:pPr>
        <w:pStyle w:val="null3"/>
        <w:ind w:firstLine="960"/>
      </w:pPr>
      <w:r>
        <w:rPr>
          <w:rFonts w:ascii="仿宋_GB2312" w:hAnsi="仿宋_GB2312" w:cs="仿宋_GB2312" w:eastAsia="仿宋_GB2312"/>
        </w:rPr>
        <w:t>详见附件：12关于符合本国产品标准的声明函.docx</w:t>
      </w:r>
    </w:p>
    <w:p>
      <w:pPr>
        <w:pStyle w:val="null3"/>
        <w:ind w:firstLine="960"/>
      </w:pPr>
      <w:r>
        <w:rPr>
          <w:rFonts w:ascii="仿宋_GB2312" w:hAnsi="仿宋_GB2312" w:cs="仿宋_GB2312" w:eastAsia="仿宋_GB2312"/>
        </w:rPr>
        <w:t>详见附件：13无重大利益关系声明函.docx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