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C1675C">
      <w:pPr>
        <w:spacing w:line="331" w:lineRule="auto"/>
        <w:jc w:val="center"/>
        <w:rPr>
          <w:rFonts w:ascii="Arial"/>
          <w:sz w:val="21"/>
        </w:rPr>
      </w:pPr>
      <w:r>
        <w:rPr>
          <w:rFonts w:hint="eastAsia" w:ascii="黑体" w:hAnsi="黑体" w:eastAsia="黑体" w:cs="黑体"/>
          <w:b/>
          <w:bCs/>
          <w:sz w:val="44"/>
          <w:szCs w:val="44"/>
          <w:lang w:val="en-US" w:eastAsia="zh-CN"/>
        </w:rPr>
        <w:t>合同范本</w:t>
      </w:r>
    </w:p>
    <w:p w14:paraId="7B9985FC">
      <w:pPr>
        <w:pStyle w:val="2"/>
        <w:bidi w:val="0"/>
        <w:rPr>
          <w:rFonts w:hint="default" w:eastAsia="仿宋"/>
          <w:u w:val="single"/>
          <w:lang w:val="en-US" w:eastAsia="zh-CN"/>
        </w:rPr>
      </w:pPr>
      <w:r>
        <w:t>项目名称：</w:t>
      </w:r>
      <w:r>
        <w:rPr>
          <w:rFonts w:hint="eastAsia"/>
          <w:u w:val="single"/>
          <w:lang w:val="en-US" w:eastAsia="zh-CN"/>
        </w:rPr>
        <w:t xml:space="preserve">                                  </w:t>
      </w:r>
    </w:p>
    <w:p w14:paraId="6DA14995">
      <w:pPr>
        <w:pStyle w:val="2"/>
        <w:bidi w:val="0"/>
      </w:pPr>
      <w:r>
        <w:t>采购编号：</w:t>
      </w:r>
      <w:r>
        <w:rPr>
          <w:rFonts w:hint="eastAsia"/>
          <w:u w:val="single"/>
          <w:lang w:val="en-US" w:eastAsia="zh-CN"/>
        </w:rPr>
        <w:t xml:space="preserve">                                  </w:t>
      </w:r>
    </w:p>
    <w:p w14:paraId="746F61AD">
      <w:pPr>
        <w:pStyle w:val="2"/>
        <w:bidi w:val="0"/>
      </w:pPr>
      <w:r>
        <w:t>采购方(甲方):</w:t>
      </w:r>
      <w:r>
        <w:rPr>
          <w:rFonts w:hint="eastAsia"/>
          <w:u w:val="single"/>
          <w:lang w:val="en-US" w:eastAsia="zh-CN"/>
        </w:rPr>
        <w:t xml:space="preserve">                               </w:t>
      </w:r>
    </w:p>
    <w:p w14:paraId="6F435014">
      <w:pPr>
        <w:pStyle w:val="2"/>
        <w:bidi w:val="0"/>
      </w:pPr>
      <w:r>
        <w:t>供应商(乙方):</w:t>
      </w:r>
      <w:r>
        <w:rPr>
          <w:rFonts w:hint="eastAsia"/>
          <w:u w:val="single"/>
          <w:lang w:val="en-US" w:eastAsia="zh-CN"/>
        </w:rPr>
        <w:t xml:space="preserve">                               </w:t>
      </w:r>
    </w:p>
    <w:p w14:paraId="2D51777E">
      <w:pPr>
        <w:pStyle w:val="2"/>
        <w:bidi w:val="0"/>
      </w:pPr>
      <w:r>
        <w:t>甲、乙双方依据</w:t>
      </w:r>
      <w:r>
        <w:rPr>
          <w:rFonts w:hint="eastAsia"/>
          <w:u w:val="single"/>
          <w:lang w:val="en-US" w:eastAsia="zh-CN"/>
        </w:rPr>
        <w:t xml:space="preserve">                            </w:t>
      </w:r>
      <w:r>
        <w:rPr>
          <w:rFonts w:hint="eastAsia"/>
          <w:lang w:val="en-US" w:eastAsia="zh-CN"/>
        </w:rPr>
        <w:t>项目</w:t>
      </w:r>
      <w:r>
        <w:t>成交通知书，并根据《中华人民共和国政府采购法》《中华人民共</w:t>
      </w:r>
      <w:r>
        <w:rPr>
          <w:rFonts w:hint="eastAsia"/>
          <w:lang w:eastAsia="zh-CN"/>
        </w:rPr>
        <w:t>和国</w:t>
      </w:r>
      <w:r>
        <w:t>民典法》等相关法律，遵循公平、诚实、守信和尊重社会公德、维护社会经济秩序与公共利益的原则，签订本</w:t>
      </w:r>
      <w:r>
        <w:rPr>
          <w:rFonts w:hint="eastAsia"/>
          <w:lang w:val="en-US" w:eastAsia="zh-CN"/>
        </w:rPr>
        <w:t>合同</w:t>
      </w:r>
      <w:r>
        <w:t>。</w:t>
      </w:r>
    </w:p>
    <w:p w14:paraId="6F074254">
      <w:pPr>
        <w:spacing w:before="41" w:line="221" w:lineRule="auto"/>
        <w:ind w:firstLine="562" w:firstLineChars="200"/>
        <w:outlineLvl w:val="2"/>
        <w:rPr>
          <w:rFonts w:hint="default" w:ascii="仿宋" w:hAnsi="仿宋" w:eastAsia="仿宋" w:cs="仿宋"/>
          <w:b/>
          <w:bCs/>
          <w:snapToGrid w:val="0"/>
          <w:color w:val="000000"/>
          <w:kern w:val="0"/>
          <w:sz w:val="28"/>
          <w:szCs w:val="31"/>
          <w:lang w:val="en-US" w:eastAsia="zh-CN" w:bidi="ar-SA"/>
        </w:rPr>
      </w:pPr>
      <w:r>
        <w:rPr>
          <w:rFonts w:ascii="仿宋" w:hAnsi="仿宋" w:eastAsia="仿宋" w:cs="仿宋"/>
          <w:b/>
          <w:bCs/>
          <w:snapToGrid w:val="0"/>
          <w:color w:val="000000"/>
          <w:kern w:val="0"/>
          <w:sz w:val="28"/>
          <w:szCs w:val="31"/>
          <w:lang w:val="en-US" w:eastAsia="en-US" w:bidi="ar-SA"/>
        </w:rPr>
        <w:t>一 、本</w:t>
      </w:r>
      <w:r>
        <w:rPr>
          <w:rFonts w:hint="eastAsia" w:ascii="仿宋" w:hAnsi="仿宋" w:eastAsia="仿宋" w:cs="仿宋"/>
          <w:b/>
          <w:bCs/>
          <w:snapToGrid w:val="0"/>
          <w:color w:val="000000"/>
          <w:kern w:val="0"/>
          <w:sz w:val="28"/>
          <w:szCs w:val="31"/>
          <w:lang w:val="en-US" w:eastAsia="zh-CN" w:bidi="ar-SA"/>
        </w:rPr>
        <w:t>合同</w:t>
      </w:r>
      <w:r>
        <w:rPr>
          <w:rFonts w:ascii="仿宋" w:hAnsi="仿宋" w:eastAsia="仿宋" w:cs="仿宋"/>
          <w:b/>
          <w:bCs/>
          <w:snapToGrid w:val="0"/>
          <w:color w:val="000000"/>
          <w:kern w:val="0"/>
          <w:sz w:val="28"/>
          <w:szCs w:val="31"/>
          <w:lang w:val="en-US" w:eastAsia="en-US" w:bidi="ar-SA"/>
        </w:rPr>
        <w:t>属于</w:t>
      </w:r>
      <w:r>
        <w:rPr>
          <w:rFonts w:hint="eastAsia" w:ascii="仿宋" w:hAnsi="仿宋" w:eastAsia="仿宋" w:cs="仿宋"/>
          <w:b/>
          <w:bCs/>
          <w:snapToGrid w:val="0"/>
          <w:color w:val="000000"/>
          <w:kern w:val="0"/>
          <w:sz w:val="28"/>
          <w:szCs w:val="31"/>
          <w:lang w:val="en-US" w:eastAsia="zh-CN" w:bidi="ar-SA"/>
        </w:rPr>
        <w:t>西安市2026年</w:t>
      </w:r>
      <w:r>
        <w:rPr>
          <w:rFonts w:ascii="仿宋" w:hAnsi="仿宋" w:eastAsia="仿宋" w:cs="仿宋"/>
          <w:b/>
          <w:bCs/>
          <w:snapToGrid w:val="0"/>
          <w:color w:val="000000"/>
          <w:kern w:val="0"/>
          <w:sz w:val="28"/>
          <w:szCs w:val="31"/>
          <w:lang w:val="en-US" w:eastAsia="en-US" w:bidi="ar-SA"/>
        </w:rPr>
        <w:t>保安员</w:t>
      </w:r>
      <w:r>
        <w:rPr>
          <w:rFonts w:hint="eastAsia" w:ascii="仿宋" w:hAnsi="仿宋" w:eastAsia="仿宋" w:cs="仿宋"/>
          <w:b/>
          <w:bCs/>
          <w:snapToGrid w:val="0"/>
          <w:color w:val="000000"/>
          <w:kern w:val="0"/>
          <w:sz w:val="28"/>
          <w:szCs w:val="31"/>
          <w:lang w:val="en-US" w:eastAsia="zh-CN" w:bidi="ar-SA"/>
        </w:rPr>
        <w:t>资格</w:t>
      </w:r>
      <w:r>
        <w:rPr>
          <w:rFonts w:ascii="仿宋" w:hAnsi="仿宋" w:eastAsia="仿宋" w:cs="仿宋"/>
          <w:b/>
          <w:bCs/>
          <w:snapToGrid w:val="0"/>
          <w:color w:val="000000"/>
          <w:kern w:val="0"/>
          <w:sz w:val="28"/>
          <w:szCs w:val="31"/>
          <w:lang w:val="en-US" w:eastAsia="en-US" w:bidi="ar-SA"/>
        </w:rPr>
        <w:t>考试服务</w:t>
      </w:r>
      <w:r>
        <w:rPr>
          <w:rFonts w:hint="eastAsia" w:ascii="仿宋" w:hAnsi="仿宋" w:eastAsia="仿宋" w:cs="仿宋"/>
          <w:b/>
          <w:bCs/>
          <w:snapToGrid w:val="0"/>
          <w:color w:val="000000"/>
          <w:kern w:val="0"/>
          <w:sz w:val="28"/>
          <w:szCs w:val="31"/>
          <w:lang w:val="en-US" w:eastAsia="zh-CN" w:bidi="ar-SA"/>
        </w:rPr>
        <w:t>项目合同</w:t>
      </w:r>
    </w:p>
    <w:p w14:paraId="4CD9F42D">
      <w:pPr>
        <w:pStyle w:val="2"/>
        <w:spacing w:before="251" w:line="360" w:lineRule="auto"/>
        <w:rPr>
          <w:rFonts w:hint="eastAsia" w:ascii="仿宋" w:hAnsi="仿宋" w:eastAsia="仿宋" w:cs="仿宋"/>
          <w:snapToGrid w:val="0"/>
          <w:color w:val="000000"/>
          <w:kern w:val="0"/>
          <w:sz w:val="28"/>
          <w:szCs w:val="31"/>
          <w:lang w:val="en-US" w:eastAsia="zh-CN" w:bidi="ar-SA"/>
        </w:rPr>
      </w:pPr>
      <w:r>
        <w:rPr>
          <w:rFonts w:ascii="仿宋" w:hAnsi="仿宋" w:eastAsia="仿宋" w:cs="仿宋"/>
          <w:snapToGrid w:val="0"/>
          <w:color w:val="000000"/>
          <w:kern w:val="0"/>
          <w:sz w:val="28"/>
          <w:szCs w:val="31"/>
          <w:lang w:val="en-US" w:eastAsia="en-US" w:bidi="ar-SA"/>
        </w:rPr>
        <w:t>服务</w:t>
      </w:r>
      <w:r>
        <w:rPr>
          <w:rFonts w:hint="eastAsia" w:ascii="仿宋" w:hAnsi="仿宋" w:eastAsia="仿宋" w:cs="仿宋"/>
          <w:snapToGrid w:val="0"/>
          <w:color w:val="000000"/>
          <w:kern w:val="0"/>
          <w:sz w:val="28"/>
          <w:szCs w:val="31"/>
          <w:lang w:val="en-US" w:eastAsia="zh-CN" w:bidi="ar-SA"/>
        </w:rPr>
        <w:t>内容</w:t>
      </w:r>
      <w:r>
        <w:rPr>
          <w:rFonts w:ascii="仿宋" w:hAnsi="仿宋" w:eastAsia="仿宋" w:cs="仿宋"/>
          <w:snapToGrid w:val="0"/>
          <w:color w:val="000000"/>
          <w:kern w:val="0"/>
          <w:sz w:val="28"/>
          <w:szCs w:val="31"/>
          <w:lang w:val="en-US" w:eastAsia="en-US" w:bidi="ar-SA"/>
        </w:rPr>
        <w:t>：</w:t>
      </w:r>
      <w:r>
        <w:rPr>
          <w:rFonts w:hint="eastAsia" w:ascii="仿宋" w:hAnsi="仿宋" w:eastAsia="仿宋" w:cs="仿宋"/>
          <w:snapToGrid w:val="0"/>
          <w:color w:val="000000"/>
          <w:kern w:val="0"/>
          <w:sz w:val="28"/>
          <w:szCs w:val="31"/>
          <w:lang w:val="en-US" w:eastAsia="zh-CN" w:bidi="ar-SA"/>
        </w:rPr>
        <w:t>西安市2026年保安员资格考试服务项目，</w:t>
      </w:r>
      <w:r>
        <w:rPr>
          <w:rFonts w:hint="eastAsia" w:ascii="仿宋" w:hAnsi="仿宋" w:eastAsia="仿宋" w:cs="仿宋"/>
          <w:snapToGrid w:val="0"/>
          <w:color w:val="000000"/>
          <w:kern w:val="0"/>
          <w:sz w:val="28"/>
          <w:szCs w:val="31"/>
          <w:lang w:val="en-US" w:eastAsia="zh-CN" w:bidi="ar-SA"/>
        </w:rPr>
        <w:t xml:space="preserve">服务期限内完成全市保安员资格考试（约30000人，以服务期限内实际考试人数为准） </w:t>
      </w:r>
    </w:p>
    <w:p w14:paraId="466BBB2E">
      <w:pPr>
        <w:pStyle w:val="2"/>
        <w:bidi w:val="0"/>
        <w:spacing w:line="360" w:lineRule="auto"/>
        <w:ind w:firstLine="883"/>
        <w:rPr>
          <w:rFonts w:ascii="仿宋" w:hAnsi="仿宋" w:eastAsia="仿宋" w:cs="仿宋"/>
          <w:b/>
          <w:bCs/>
          <w:snapToGrid w:val="0"/>
          <w:color w:val="000000"/>
          <w:kern w:val="0"/>
          <w:sz w:val="28"/>
          <w:szCs w:val="31"/>
          <w:lang w:val="en-US" w:eastAsia="en-US" w:bidi="ar-SA"/>
        </w:rPr>
      </w:pPr>
      <w:r>
        <w:rPr>
          <w:rFonts w:ascii="仿宋" w:hAnsi="仿宋" w:eastAsia="仿宋" w:cs="仿宋"/>
          <w:b/>
          <w:bCs/>
          <w:snapToGrid w:val="0"/>
          <w:color w:val="000000"/>
          <w:kern w:val="0"/>
          <w:sz w:val="28"/>
          <w:szCs w:val="31"/>
          <w:lang w:val="en-US" w:eastAsia="en-US" w:bidi="ar-SA"/>
        </w:rPr>
        <w:t>二、乙方提供的考试服务要求</w:t>
      </w:r>
    </w:p>
    <w:p w14:paraId="3AEEFA88">
      <w:pPr>
        <w:pStyle w:val="2"/>
        <w:bidi w:val="0"/>
        <w:spacing w:line="360" w:lineRule="auto"/>
        <w:ind w:firstLine="883"/>
        <w:rPr>
          <w:lang w:val="en-US" w:eastAsia="en-US"/>
        </w:rPr>
      </w:pPr>
      <w:r>
        <w:rPr>
          <w:rFonts w:hint="eastAsia"/>
          <w:lang w:val="en-US" w:eastAsia="zh-CN"/>
        </w:rPr>
        <w:t>2.1</w:t>
      </w:r>
      <w:r>
        <w:rPr>
          <w:lang w:val="en-US" w:eastAsia="en-US"/>
        </w:rPr>
        <w:t>、考点要求</w:t>
      </w:r>
      <w:bookmarkStart w:id="0" w:name="_GoBack"/>
      <w:bookmarkEnd w:id="0"/>
    </w:p>
    <w:p w14:paraId="0760C34F">
      <w:pPr>
        <w:pStyle w:val="2"/>
        <w:bidi w:val="0"/>
        <w:spacing w:line="360" w:lineRule="auto"/>
        <w:rPr>
          <w:lang w:val="en-US" w:eastAsia="en-US"/>
        </w:rPr>
      </w:pPr>
      <w:r>
        <w:rPr>
          <w:lang w:val="en-US" w:eastAsia="en-US"/>
        </w:rPr>
        <w:t>（一）在全市范围内分散设置不少于3个固定考点，考点应考虑交通便利因素，方便考生前往，并根据实际情况及时设置临时考点；</w:t>
      </w:r>
    </w:p>
    <w:p w14:paraId="3BB4634B">
      <w:pPr>
        <w:pStyle w:val="2"/>
        <w:bidi w:val="0"/>
        <w:rPr>
          <w:rFonts w:hint="eastAsia"/>
          <w:lang w:val="en-US" w:eastAsia="zh-CN"/>
        </w:rPr>
      </w:pPr>
      <w:r>
        <w:rPr>
          <w:lang w:val="en-US" w:eastAsia="en-US"/>
        </w:rPr>
        <w:t>（二）每个考点（包括临时考点）要求保障至少能容纳50人同时考试的室内场地，并配置充足数量的单人课桌椅；</w:t>
      </w:r>
      <w:r>
        <w:rPr>
          <w:rFonts w:hint="eastAsia"/>
          <w:lang w:val="en-US" w:eastAsia="zh-CN"/>
        </w:rPr>
        <w:t xml:space="preserve"> </w:t>
      </w:r>
    </w:p>
    <w:p w14:paraId="7C87DCCF">
      <w:pPr>
        <w:pStyle w:val="2"/>
        <w:bidi w:val="0"/>
        <w:rPr>
          <w:lang w:val="en-US" w:eastAsia="en-US"/>
        </w:rPr>
      </w:pPr>
      <w:r>
        <w:rPr>
          <w:lang w:val="en-US" w:eastAsia="en-US"/>
        </w:rPr>
        <w:t>（三）考场四周均设置监控摄像头，实时监控考场内所有考生考试情况，确保无死角、全覆盖。同时，要求公安机关可实时远程调取查看监控画面，考场监控视频须留存至少六个月备查。</w:t>
      </w:r>
    </w:p>
    <w:p w14:paraId="65DEEE70">
      <w:pPr>
        <w:pStyle w:val="2"/>
        <w:bidi w:val="0"/>
        <w:ind w:firstLine="883"/>
        <w:rPr>
          <w:lang w:val="en-US" w:eastAsia="en-US"/>
        </w:rPr>
      </w:pPr>
      <w:r>
        <w:rPr>
          <w:rFonts w:hint="eastAsia"/>
          <w:lang w:val="en-US" w:eastAsia="zh-CN"/>
        </w:rPr>
        <w:t>2.2</w:t>
      </w:r>
      <w:r>
        <w:rPr>
          <w:lang w:val="en-US" w:eastAsia="en-US"/>
        </w:rPr>
        <w:t>、考务要求</w:t>
      </w:r>
    </w:p>
    <w:p w14:paraId="68BCBEE0">
      <w:pPr>
        <w:pStyle w:val="2"/>
        <w:bidi w:val="0"/>
        <w:rPr>
          <w:lang w:val="en-US" w:eastAsia="en-US"/>
        </w:rPr>
      </w:pPr>
      <w:r>
        <w:rPr>
          <w:lang w:val="en-US" w:eastAsia="en-US"/>
        </w:rPr>
        <w:t>（一）单场考试须配备充足数量的考务人员，考生不超过50人时，安排2名考务人员维持考场秩序，如考生超过50人，每超过25人，须增加1名考务人员（即50人以下，含50人，配备考务人员至少2名；75人以内，含75人，配备考务人员至少3名；75人以上100人以下，配备考务人员至少4名；原则上，单场考试人数不超过100人）。</w:t>
      </w:r>
    </w:p>
    <w:p w14:paraId="3D477170">
      <w:pPr>
        <w:pStyle w:val="2"/>
        <w:bidi w:val="0"/>
        <w:rPr>
          <w:lang w:val="en-US" w:eastAsia="en-US"/>
        </w:rPr>
      </w:pPr>
      <w:r>
        <w:rPr>
          <w:lang w:val="en-US" w:eastAsia="en-US"/>
        </w:rPr>
        <w:t>（二）每场考试应配备1名技术人员，负责技术支持，需具有独立操作考试系统的技术能力，做好考试过程中应急处置保障，及时解决考试中出现的突发情况和问题。</w:t>
      </w:r>
    </w:p>
    <w:p w14:paraId="230F43EE">
      <w:pPr>
        <w:pStyle w:val="2"/>
        <w:bidi w:val="0"/>
        <w:rPr>
          <w:lang w:val="en-US" w:eastAsia="en-US"/>
        </w:rPr>
      </w:pPr>
      <w:r>
        <w:rPr>
          <w:lang w:val="en-US" w:eastAsia="en-US"/>
        </w:rPr>
        <w:t>（三）须制定考务工作流程，编制考务工作手册，并对考务工作人员进行培训和考核，确保考务工作顺利有序开展。</w:t>
      </w:r>
    </w:p>
    <w:p w14:paraId="4BF4EBDA">
      <w:pPr>
        <w:pStyle w:val="2"/>
        <w:bidi w:val="0"/>
        <w:rPr>
          <w:lang w:val="en-US" w:eastAsia="en-US"/>
        </w:rPr>
      </w:pPr>
      <w:r>
        <w:rPr>
          <w:lang w:val="en-US" w:eastAsia="en-US"/>
        </w:rPr>
        <w:t>（四）须制作考试保密方案及相关保密制度，包括考生个人信息保护措施等。</w:t>
      </w:r>
    </w:p>
    <w:p w14:paraId="4BBE77CA">
      <w:pPr>
        <w:pStyle w:val="2"/>
        <w:bidi w:val="0"/>
        <w:rPr>
          <w:lang w:val="en-US" w:eastAsia="en-US"/>
        </w:rPr>
      </w:pPr>
      <w:r>
        <w:rPr>
          <w:rFonts w:hint="eastAsia"/>
          <w:lang w:val="en-US" w:eastAsia="zh-CN"/>
        </w:rPr>
        <w:t>2.3</w:t>
      </w:r>
      <w:r>
        <w:rPr>
          <w:lang w:val="en-US" w:eastAsia="en-US"/>
        </w:rPr>
        <w:t>、线上考试系统平台要求</w:t>
      </w:r>
    </w:p>
    <w:p w14:paraId="057FAFEC">
      <w:pPr>
        <w:pStyle w:val="2"/>
        <w:bidi w:val="0"/>
        <w:rPr>
          <w:lang w:val="en-US" w:eastAsia="en-US"/>
        </w:rPr>
      </w:pPr>
      <w:r>
        <w:rPr>
          <w:lang w:val="en-US" w:eastAsia="en-US"/>
        </w:rPr>
        <w:t>（一）提供线上考试平台服务。包括考试签到、考试流程的处理，考题的制作、发放、作答、回收和评分均依托线上考试系统平台完成。</w:t>
      </w:r>
    </w:p>
    <w:p w14:paraId="7069AE57">
      <w:pPr>
        <w:pStyle w:val="2"/>
        <w:bidi w:val="0"/>
        <w:rPr>
          <w:lang w:val="en-US" w:eastAsia="en-US"/>
        </w:rPr>
      </w:pPr>
      <w:r>
        <w:rPr>
          <w:lang w:val="en-US" w:eastAsia="en-US"/>
        </w:rPr>
        <w:t>（二）线上考试平台须提供包括但不限于在线考试系统及所需的第三方辅助软件、后台查询、实时监控、人像采集、云服务器等考试所需的全部软设施。</w:t>
      </w:r>
    </w:p>
    <w:p w14:paraId="3FC50E71">
      <w:pPr>
        <w:pStyle w:val="2"/>
        <w:bidi w:val="0"/>
        <w:rPr>
          <w:lang w:val="en-US" w:eastAsia="en-US"/>
        </w:rPr>
      </w:pPr>
      <w:r>
        <w:rPr>
          <w:lang w:val="en-US" w:eastAsia="en-US"/>
        </w:rPr>
        <w:t>（三）线上考试平台应具备人脸识别防作弊功能，通过比对考生面部信息发现作弊后，应立即向考务人员发出预警。</w:t>
      </w:r>
    </w:p>
    <w:p w14:paraId="1D0DF3D6">
      <w:pPr>
        <w:pStyle w:val="2"/>
        <w:bidi w:val="0"/>
        <w:rPr>
          <w:lang w:val="en-US" w:eastAsia="en-US"/>
        </w:rPr>
      </w:pPr>
      <w:r>
        <w:rPr>
          <w:lang w:val="en-US" w:eastAsia="en-US"/>
        </w:rPr>
        <w:t>（四）线上考试平台应具备全程试题及答案随机排序、计时显示、强制收卷、自动评分、答题进度自动保存、标记待查试题、显示照片、试卷复查、考试软硬件环境自动检查等功能，以及创建考试考点地理电子围栏，划定考点范围，考生必须在考点范围内方可签到参加考试。</w:t>
      </w:r>
    </w:p>
    <w:p w14:paraId="7399938E">
      <w:pPr>
        <w:pStyle w:val="2"/>
        <w:bidi w:val="0"/>
        <w:rPr>
          <w:lang w:val="en-US" w:eastAsia="en-US"/>
        </w:rPr>
      </w:pPr>
      <w:r>
        <w:rPr>
          <w:lang w:val="en-US" w:eastAsia="en-US"/>
        </w:rPr>
        <w:t>（五）考试平台考生客户端为手机客户端，须同时支持android系统和ios系统，能够在主流手机应用市场中下载，安装方便。</w:t>
      </w:r>
    </w:p>
    <w:p w14:paraId="1278C379">
      <w:pPr>
        <w:pStyle w:val="2"/>
        <w:bidi w:val="0"/>
        <w:rPr>
          <w:lang w:val="en-US" w:eastAsia="en-US"/>
        </w:rPr>
      </w:pPr>
      <w:r>
        <w:rPr>
          <w:lang w:val="en-US" w:eastAsia="en-US"/>
        </w:rPr>
        <w:t>（六）考试界面设计应注重简单实用，便于考生操作。考试平台要具备线上学习功能，设置模拟测试供考生考前练习。考试平台须符合国家保密要求，并完成等级保护。同时，考试平台要具备可移动考试系统，支持上门送考。</w:t>
      </w:r>
    </w:p>
    <w:p w14:paraId="256EC8FF">
      <w:pPr>
        <w:pStyle w:val="2"/>
        <w:bidi w:val="0"/>
        <w:rPr>
          <w:lang w:val="en-US" w:eastAsia="en-US"/>
        </w:rPr>
      </w:pPr>
      <w:r>
        <w:rPr>
          <w:lang w:val="en-US" w:eastAsia="en-US"/>
        </w:rPr>
        <w:t>（七）考试平台应保证考生在考试规定时间内访问规定试卷，试卷、答案、成绩无法篡改、否认和非法访问，题库及考试数据须加密保存。考试平台每次考试当量须保障不少于2000人同时在线，并确保考试系统顺畅。</w:t>
      </w:r>
    </w:p>
    <w:p w14:paraId="63F0F20E">
      <w:pPr>
        <w:pStyle w:val="2"/>
        <w:bidi w:val="0"/>
        <w:rPr>
          <w:lang w:val="en-US" w:eastAsia="en-US"/>
        </w:rPr>
      </w:pPr>
      <w:r>
        <w:rPr>
          <w:lang w:val="en-US" w:eastAsia="en-US"/>
        </w:rPr>
        <w:t>（八）考试题目要依据公安部下发的《国家保安员资格考试大纲》完成计算机考试题库的制作，实现随机抽题，智能组卷。每场考试时间为90分钟。每套题设置单选题50道，每题1分；多选题10道，每题2分；判断对错题30道，每题1分；共100分。60分以上（含60分）为合格，考试不合格的可免费补考一次。考试合格后，应在24小时内生成电子保安员证。</w:t>
      </w:r>
    </w:p>
    <w:p w14:paraId="27BB91CD">
      <w:pPr>
        <w:pStyle w:val="2"/>
        <w:bidi w:val="0"/>
        <w:rPr>
          <w:lang w:val="en-US" w:eastAsia="en-US"/>
        </w:rPr>
      </w:pPr>
      <w:r>
        <w:rPr>
          <w:lang w:val="en-US" w:eastAsia="en-US"/>
        </w:rPr>
        <w:t>（九）每场考试前，须根据考试人数准备充足的纸质试卷，以便考生不会操作智能手机时，使用纸质试卷作答。同时，应根据报考预约人数做好考试场地的编组划分，并通过发送短信的方式，将考试地点、时间等信息提前通知考生，便于考生做好备考工作。</w:t>
      </w:r>
    </w:p>
    <w:p w14:paraId="08A39C17">
      <w:pPr>
        <w:pStyle w:val="2"/>
        <w:bidi w:val="0"/>
        <w:rPr>
          <w:lang w:val="en-US" w:eastAsia="en-US"/>
        </w:rPr>
      </w:pPr>
      <w:r>
        <w:rPr>
          <w:rFonts w:hint="eastAsia"/>
          <w:lang w:val="en-US" w:eastAsia="zh-CN"/>
        </w:rPr>
        <w:t>2.4</w:t>
      </w:r>
      <w:r>
        <w:rPr>
          <w:lang w:val="en-US" w:eastAsia="en-US"/>
        </w:rPr>
        <w:t>、成绩分析要求</w:t>
      </w:r>
    </w:p>
    <w:p w14:paraId="44B33EFE">
      <w:pPr>
        <w:pStyle w:val="2"/>
        <w:bidi w:val="0"/>
        <w:rPr>
          <w:lang w:val="en-US" w:eastAsia="en-US"/>
        </w:rPr>
      </w:pPr>
      <w:r>
        <w:rPr>
          <w:lang w:val="en-US" w:eastAsia="en-US"/>
        </w:rPr>
        <w:t>须在规定的时间向公安机关提交考试成绩统计分析报告，包括但不限于：</w:t>
      </w:r>
    </w:p>
    <w:p w14:paraId="1044A271">
      <w:pPr>
        <w:pStyle w:val="2"/>
        <w:bidi w:val="0"/>
        <w:rPr>
          <w:lang w:val="en-US" w:eastAsia="en-US"/>
        </w:rPr>
      </w:pPr>
      <w:r>
        <w:rPr>
          <w:lang w:val="en-US" w:eastAsia="en-US"/>
        </w:rPr>
        <w:t>（一）按照考点、考场分别统计到考率，并对缺考人员构成情况进行分析；</w:t>
      </w:r>
    </w:p>
    <w:p w14:paraId="47FEA264">
      <w:pPr>
        <w:pStyle w:val="2"/>
        <w:bidi w:val="0"/>
        <w:rPr>
          <w:lang w:val="en-US" w:eastAsia="en-US"/>
        </w:rPr>
      </w:pPr>
      <w:r>
        <w:rPr>
          <w:lang w:val="en-US" w:eastAsia="en-US"/>
        </w:rPr>
        <w:t>（二）应以安全的方式提交符合公安机关要求的考试成绩明细；</w:t>
      </w:r>
    </w:p>
    <w:p w14:paraId="235C20E4">
      <w:pPr>
        <w:pStyle w:val="2"/>
        <w:bidi w:val="0"/>
        <w:rPr>
          <w:lang w:val="en-US" w:eastAsia="en-US"/>
        </w:rPr>
      </w:pPr>
      <w:r>
        <w:rPr>
          <w:lang w:val="en-US" w:eastAsia="en-US"/>
        </w:rPr>
        <w:t>（三）考试成绩各维度分析及考生考试情况分析。</w:t>
      </w:r>
    </w:p>
    <w:p w14:paraId="1815A3DE">
      <w:pPr>
        <w:pStyle w:val="2"/>
        <w:bidi w:val="0"/>
        <w:rPr>
          <w:lang w:val="en-US" w:eastAsia="en-US"/>
        </w:rPr>
      </w:pPr>
      <w:r>
        <w:rPr>
          <w:rFonts w:hint="eastAsia"/>
          <w:lang w:val="en-US" w:eastAsia="zh-CN"/>
        </w:rPr>
        <w:t>2.5</w:t>
      </w:r>
      <w:r>
        <w:rPr>
          <w:lang w:val="en-US" w:eastAsia="en-US"/>
        </w:rPr>
        <w:t>、应急处置要求</w:t>
      </w:r>
    </w:p>
    <w:p w14:paraId="40D28602">
      <w:pPr>
        <w:pStyle w:val="2"/>
        <w:bidi w:val="0"/>
        <w:rPr>
          <w:lang w:val="en-US" w:eastAsia="en-US"/>
        </w:rPr>
      </w:pPr>
      <w:r>
        <w:rPr>
          <w:lang w:val="en-US" w:eastAsia="en-US"/>
        </w:rPr>
        <w:t>应充分预见考试过程中可能发生的考务组织和技术方面的突发状况，编制应急处置预案，并按照预案对突发事件进行及时、有效的处理。</w:t>
      </w:r>
    </w:p>
    <w:p w14:paraId="673AE282">
      <w:pPr>
        <w:pStyle w:val="2"/>
        <w:bidi w:val="0"/>
        <w:rPr>
          <w:lang w:val="en-US" w:eastAsia="en-US"/>
        </w:rPr>
      </w:pPr>
      <w:r>
        <w:rPr>
          <w:lang w:val="en-US" w:eastAsia="en-US"/>
        </w:rPr>
        <w:t>（一）针对人为原因造成的异常情况处置预案。例如：考生迟到、考生突发疾病等。</w:t>
      </w:r>
    </w:p>
    <w:p w14:paraId="282DC57B">
      <w:pPr>
        <w:pStyle w:val="2"/>
        <w:bidi w:val="0"/>
        <w:rPr>
          <w:lang w:val="en-US" w:eastAsia="en-US"/>
        </w:rPr>
      </w:pPr>
      <w:r>
        <w:rPr>
          <w:lang w:val="en-US" w:eastAsia="en-US"/>
        </w:rPr>
        <w:t>（二）针对平台突发异常情况的处置预案。例如：考场停电、考场设施损坏、系统平台故障等。</w:t>
      </w:r>
    </w:p>
    <w:p w14:paraId="2E85C36A">
      <w:pPr>
        <w:pStyle w:val="2"/>
        <w:bidi w:val="0"/>
        <w:rPr>
          <w:lang w:val="en-US" w:eastAsia="en-US"/>
        </w:rPr>
      </w:pPr>
      <w:r>
        <w:rPr>
          <w:lang w:val="en-US" w:eastAsia="en-US"/>
        </w:rPr>
        <w:t>（三）针对外界不可抗力因素造成的异常情况处置预案。例如：遇灾害天气、重大活动交通管制等。</w:t>
      </w:r>
    </w:p>
    <w:p w14:paraId="730840F6">
      <w:pPr>
        <w:pStyle w:val="2"/>
        <w:bidi w:val="0"/>
        <w:rPr>
          <w:lang w:val="en-US" w:eastAsia="en-US"/>
        </w:rPr>
      </w:pPr>
      <w:r>
        <w:rPr>
          <w:rFonts w:hint="eastAsia"/>
          <w:lang w:val="en-US" w:eastAsia="zh-CN"/>
        </w:rPr>
        <w:t>2.6</w:t>
      </w:r>
      <w:r>
        <w:rPr>
          <w:lang w:val="en-US" w:eastAsia="en-US"/>
        </w:rPr>
        <w:t>、项目管理相关要求</w:t>
      </w:r>
    </w:p>
    <w:p w14:paraId="09271608">
      <w:pPr>
        <w:pStyle w:val="2"/>
        <w:bidi w:val="0"/>
        <w:rPr>
          <w:lang w:val="en-US" w:eastAsia="en-US"/>
        </w:rPr>
      </w:pPr>
      <w:r>
        <w:rPr>
          <w:lang w:val="en-US" w:eastAsia="en-US"/>
        </w:rPr>
        <w:t>（一）须对考试提供的所有资料以及考试中产生的所有信息严格保密。</w:t>
      </w:r>
    </w:p>
    <w:p w14:paraId="7D1717A2">
      <w:pPr>
        <w:pStyle w:val="2"/>
        <w:bidi w:val="0"/>
        <w:rPr>
          <w:lang w:val="en-US" w:eastAsia="en-US"/>
        </w:rPr>
      </w:pPr>
      <w:r>
        <w:rPr>
          <w:lang w:val="en-US" w:eastAsia="en-US"/>
        </w:rPr>
        <w:t>（二）服务期限内完成全市保安员资格考试任务（约30000人，以服务期限内实际考试人数为准）。</w:t>
      </w:r>
    </w:p>
    <w:p w14:paraId="797BB02E">
      <w:pPr>
        <w:pStyle w:val="2"/>
        <w:bidi w:val="0"/>
        <w:rPr>
          <w:lang w:val="en-US" w:eastAsia="en-US"/>
        </w:rPr>
      </w:pPr>
      <w:r>
        <w:rPr>
          <w:lang w:val="en-US" w:eastAsia="en-US"/>
        </w:rPr>
        <w:t>（三）其它需要考试服务机构承担的各项职责。</w:t>
      </w:r>
    </w:p>
    <w:p w14:paraId="4C7DF092">
      <w:pPr>
        <w:pStyle w:val="2"/>
        <w:bidi w:val="0"/>
        <w:rPr>
          <w:lang w:val="en-US" w:eastAsia="en-US"/>
        </w:rPr>
      </w:pPr>
      <w:r>
        <w:rPr>
          <w:rFonts w:hint="eastAsia"/>
          <w:lang w:val="en-US" w:eastAsia="zh-CN"/>
        </w:rPr>
        <w:t>2.7</w:t>
      </w:r>
      <w:r>
        <w:rPr>
          <w:lang w:val="en-US" w:eastAsia="en-US"/>
        </w:rPr>
        <w:t>、服务期限</w:t>
      </w:r>
    </w:p>
    <w:p w14:paraId="21DFA97F">
      <w:pPr>
        <w:pStyle w:val="2"/>
        <w:bidi w:val="0"/>
        <w:rPr>
          <w:lang w:val="en-US" w:eastAsia="en-US"/>
        </w:rPr>
      </w:pPr>
      <w:r>
        <w:rPr>
          <w:lang w:val="en-US" w:eastAsia="en-US"/>
        </w:rPr>
        <w:t>    自合同签订之日起一年</w:t>
      </w:r>
    </w:p>
    <w:p w14:paraId="11F32D97">
      <w:pPr>
        <w:pStyle w:val="2"/>
        <w:bidi w:val="0"/>
        <w:ind w:firstLine="883"/>
        <w:rPr>
          <w:b/>
          <w:bCs/>
          <w:lang w:val="en-US" w:eastAsia="en-US"/>
        </w:rPr>
      </w:pPr>
      <w:r>
        <w:rPr>
          <w:b/>
          <w:bCs/>
          <w:lang w:val="en-US" w:eastAsia="en-US"/>
        </w:rPr>
        <w:t>三、甲方权利义务</w:t>
      </w:r>
    </w:p>
    <w:p w14:paraId="360B268E">
      <w:pPr>
        <w:pStyle w:val="2"/>
        <w:bidi w:val="0"/>
        <w:ind w:firstLine="883"/>
        <w:rPr>
          <w:lang w:val="en-US" w:eastAsia="en-US"/>
        </w:rPr>
      </w:pPr>
      <w:r>
        <w:rPr>
          <w:lang w:val="en-US" w:eastAsia="en-US"/>
        </w:rPr>
        <w:t>(一)甲方的权利与义务</w:t>
      </w:r>
    </w:p>
    <w:p w14:paraId="1B2B238F">
      <w:pPr>
        <w:pStyle w:val="2"/>
        <w:bidi w:val="0"/>
        <w:ind w:firstLine="883"/>
        <w:rPr>
          <w:lang w:val="en-US" w:eastAsia="en-US"/>
        </w:rPr>
      </w:pPr>
      <w:r>
        <w:rPr>
          <w:lang w:val="en-US" w:eastAsia="en-US"/>
        </w:rPr>
        <w:t>1.甲方负责配合本次项目服务工作；</w:t>
      </w:r>
    </w:p>
    <w:p w14:paraId="68C09979">
      <w:pPr>
        <w:pStyle w:val="2"/>
        <w:bidi w:val="0"/>
        <w:ind w:firstLine="883"/>
        <w:rPr>
          <w:lang w:val="en-US" w:eastAsia="en-US"/>
        </w:rPr>
      </w:pPr>
      <w:r>
        <w:rPr>
          <w:lang w:val="en-US" w:eastAsia="en-US"/>
        </w:rPr>
        <w:t>2.甲方应按本合同的约定向乙方支付合同价款；</w:t>
      </w:r>
    </w:p>
    <w:p w14:paraId="22D59996">
      <w:pPr>
        <w:pStyle w:val="2"/>
        <w:bidi w:val="0"/>
        <w:ind w:firstLine="883"/>
        <w:rPr>
          <w:lang w:val="en-US" w:eastAsia="en-US"/>
        </w:rPr>
      </w:pPr>
      <w:r>
        <w:rPr>
          <w:lang w:val="en-US" w:eastAsia="en-US"/>
        </w:rPr>
        <w:t>3.甲方有权对乙方的工作进行监督和考核。</w:t>
      </w:r>
    </w:p>
    <w:p w14:paraId="37325D7A">
      <w:pPr>
        <w:pStyle w:val="2"/>
        <w:bidi w:val="0"/>
        <w:ind w:firstLine="883"/>
        <w:rPr>
          <w:lang w:val="en-US" w:eastAsia="en-US"/>
        </w:rPr>
      </w:pPr>
      <w:r>
        <w:rPr>
          <w:lang w:val="en-US" w:eastAsia="en-US"/>
        </w:rPr>
        <w:t>(二)乙方的权利与义务</w:t>
      </w:r>
    </w:p>
    <w:p w14:paraId="76A1C831">
      <w:pPr>
        <w:pStyle w:val="2"/>
        <w:bidi w:val="0"/>
        <w:ind w:firstLine="883"/>
        <w:rPr>
          <w:lang w:val="en-US" w:eastAsia="en-US"/>
        </w:rPr>
      </w:pPr>
      <w:r>
        <w:rPr>
          <w:lang w:val="en-US" w:eastAsia="en-US"/>
        </w:rPr>
        <w:t>1.根据报名情况及时组织考试安排；</w:t>
      </w:r>
    </w:p>
    <w:p w14:paraId="54DA0E14">
      <w:pPr>
        <w:pStyle w:val="2"/>
        <w:bidi w:val="0"/>
        <w:ind w:firstLine="883"/>
        <w:rPr>
          <w:lang w:val="en-US" w:eastAsia="en-US"/>
        </w:rPr>
      </w:pPr>
      <w:r>
        <w:rPr>
          <w:lang w:val="en-US" w:eastAsia="en-US"/>
        </w:rPr>
        <w:t>2.考点工作人员组织考试时着正装，严格执行考试纪律， 坚决禁止以各种形式弄虚作假和徇私舞弊；</w:t>
      </w:r>
    </w:p>
    <w:p w14:paraId="57A758D0">
      <w:pPr>
        <w:pStyle w:val="2"/>
        <w:bidi w:val="0"/>
        <w:ind w:firstLine="883"/>
        <w:rPr>
          <w:lang w:val="en-US" w:eastAsia="en-US"/>
        </w:rPr>
      </w:pPr>
      <w:r>
        <w:rPr>
          <w:lang w:val="en-US" w:eastAsia="en-US"/>
        </w:rPr>
        <w:t>3.考试前，乙方要对保安员进行身份核验；</w:t>
      </w:r>
    </w:p>
    <w:p w14:paraId="2EB90428">
      <w:pPr>
        <w:pStyle w:val="2"/>
        <w:bidi w:val="0"/>
        <w:ind w:firstLine="883"/>
        <w:rPr>
          <w:lang w:val="en-US" w:eastAsia="en-US"/>
        </w:rPr>
      </w:pPr>
      <w:r>
        <w:rPr>
          <w:lang w:val="en-US" w:eastAsia="en-US"/>
        </w:rPr>
        <w:t>4.理论考试结束后，1个工作日内将考试成绩通过系统给到甲方，甲方可在系统查询各考生成绩；</w:t>
      </w:r>
    </w:p>
    <w:p w14:paraId="09BBBA9C">
      <w:pPr>
        <w:pStyle w:val="2"/>
        <w:bidi w:val="0"/>
        <w:ind w:firstLine="883"/>
        <w:rPr>
          <w:lang w:val="en-US" w:eastAsia="en-US"/>
        </w:rPr>
      </w:pPr>
      <w:r>
        <w:rPr>
          <w:lang w:val="en-US" w:eastAsia="en-US"/>
        </w:rPr>
        <w:t>5.乙方对预约安排的上门送考服务，须保证工作人员按照约定时间到达约定地点开展送考服务；</w:t>
      </w:r>
    </w:p>
    <w:p w14:paraId="092CB357">
      <w:pPr>
        <w:pStyle w:val="2"/>
        <w:bidi w:val="0"/>
        <w:ind w:firstLine="883"/>
        <w:rPr>
          <w:lang w:val="en-US" w:eastAsia="en-US"/>
        </w:rPr>
      </w:pPr>
      <w:r>
        <w:rPr>
          <w:lang w:val="en-US" w:eastAsia="en-US"/>
        </w:rPr>
        <w:t>6.考试过程全程录音录像并确保影像资料留存6个月，备查；</w:t>
      </w:r>
    </w:p>
    <w:p w14:paraId="1FB2DD6B">
      <w:pPr>
        <w:pStyle w:val="2"/>
        <w:bidi w:val="0"/>
        <w:ind w:firstLine="883"/>
        <w:rPr>
          <w:lang w:val="en-US" w:eastAsia="en-US"/>
        </w:rPr>
      </w:pPr>
      <w:r>
        <w:rPr>
          <w:lang w:val="en-US" w:eastAsia="en-US"/>
        </w:rPr>
        <w:t>7.如遇突发事件或不可抗力等情况无法正常开展考试，以甲方通知为准；</w:t>
      </w:r>
    </w:p>
    <w:p w14:paraId="7A61F534">
      <w:pPr>
        <w:pStyle w:val="2"/>
        <w:bidi w:val="0"/>
        <w:ind w:firstLine="883"/>
        <w:rPr>
          <w:lang w:val="en-US" w:eastAsia="en-US"/>
        </w:rPr>
      </w:pPr>
      <w:r>
        <w:rPr>
          <w:lang w:val="en-US" w:eastAsia="en-US"/>
        </w:rPr>
        <w:t>8.乙方在服务期间发布的任何涉及有关甲方的相关信息，需经甲方确认无误后方可发布。</w:t>
      </w:r>
    </w:p>
    <w:p w14:paraId="771F9CED">
      <w:pPr>
        <w:pStyle w:val="2"/>
        <w:bidi w:val="0"/>
        <w:ind w:firstLine="883"/>
        <w:rPr>
          <w:b/>
          <w:bCs/>
          <w:lang w:val="en-US" w:eastAsia="en-US"/>
        </w:rPr>
      </w:pPr>
      <w:r>
        <w:rPr>
          <w:b/>
          <w:bCs/>
          <w:lang w:val="en-US" w:eastAsia="en-US"/>
        </w:rPr>
        <w:t>四、结算方式</w:t>
      </w:r>
    </w:p>
    <w:p w14:paraId="7D70CB23">
      <w:pPr>
        <w:pStyle w:val="2"/>
        <w:bidi w:val="0"/>
        <w:ind w:firstLine="883"/>
        <w:rPr>
          <w:lang w:val="en-US" w:eastAsia="en-US"/>
        </w:rPr>
      </w:pPr>
      <w:r>
        <w:rPr>
          <w:lang w:val="en-US" w:eastAsia="en-US"/>
        </w:rPr>
        <w:t>1.乙方持双方确认的《结算确认单》按照考试人数分阶段据实结算费用；(自乙方开具发票</w:t>
      </w:r>
      <w:r>
        <w:rPr>
          <w:rFonts w:hint="eastAsia"/>
          <w:lang w:val="en-US" w:eastAsia="zh-CN"/>
        </w:rPr>
        <w:t>30</w:t>
      </w:r>
      <w:r>
        <w:rPr>
          <w:lang w:val="en-US" w:eastAsia="en-US"/>
        </w:rPr>
        <w:t>个工作日内结算)</w:t>
      </w:r>
    </w:p>
    <w:p w14:paraId="14E9A6DD">
      <w:pPr>
        <w:pStyle w:val="2"/>
        <w:bidi w:val="0"/>
        <w:ind w:firstLine="883"/>
        <w:rPr>
          <w:lang w:val="en-US" w:eastAsia="en-US"/>
        </w:rPr>
      </w:pPr>
      <w:r>
        <w:rPr>
          <w:lang w:val="en-US" w:eastAsia="en-US"/>
        </w:rPr>
        <w:t>2.甲方根据结算确认情况，向乙方支付实际费用；</w:t>
      </w:r>
    </w:p>
    <w:p w14:paraId="1A09FF35">
      <w:pPr>
        <w:pStyle w:val="2"/>
        <w:bidi w:val="0"/>
        <w:ind w:firstLine="883"/>
        <w:rPr>
          <w:lang w:val="en-US" w:eastAsia="en-US"/>
        </w:rPr>
      </w:pPr>
      <w:r>
        <w:rPr>
          <w:lang w:val="en-US" w:eastAsia="en-US"/>
        </w:rPr>
        <w:t>3.保安员参加考试未通过者乙方免费补考一次；</w:t>
      </w:r>
    </w:p>
    <w:p w14:paraId="515C03B7">
      <w:pPr>
        <w:pStyle w:val="2"/>
        <w:bidi w:val="0"/>
        <w:ind w:firstLine="883"/>
        <w:rPr>
          <w:lang w:val="en-US" w:eastAsia="en-US"/>
        </w:rPr>
      </w:pPr>
      <w:r>
        <w:rPr>
          <w:lang w:val="en-US" w:eastAsia="en-US"/>
        </w:rPr>
        <w:t>4.甲方向乙方付款前，乙方应向甲方提供等额、正规、合法的发票，甲方根据发票金额向乙方支付款项。</w:t>
      </w:r>
    </w:p>
    <w:p w14:paraId="10A89BEA">
      <w:pPr>
        <w:pStyle w:val="2"/>
        <w:bidi w:val="0"/>
        <w:ind w:firstLine="883"/>
        <w:rPr>
          <w:lang w:val="en-US" w:eastAsia="en-US"/>
        </w:rPr>
      </w:pPr>
      <w:r>
        <w:rPr>
          <w:lang w:val="en-US" w:eastAsia="en-US"/>
        </w:rPr>
        <w:t>5.甲方以转账的方式向乙方支付采购款，以下为乙方的账户信息：</w:t>
      </w:r>
    </w:p>
    <w:p w14:paraId="0F00C2FC">
      <w:pPr>
        <w:pStyle w:val="2"/>
        <w:bidi w:val="0"/>
        <w:ind w:firstLine="883"/>
        <w:rPr>
          <w:lang w:val="en-US" w:eastAsia="en-US"/>
        </w:rPr>
      </w:pPr>
      <w:r>
        <w:rPr>
          <w:lang w:val="en-US" w:eastAsia="en-US"/>
        </w:rPr>
        <w:t>开户名：</w:t>
      </w:r>
    </w:p>
    <w:p w14:paraId="4D1DF244">
      <w:pPr>
        <w:pStyle w:val="2"/>
        <w:bidi w:val="0"/>
        <w:ind w:firstLine="883"/>
        <w:rPr>
          <w:lang w:val="en-US" w:eastAsia="en-US"/>
        </w:rPr>
      </w:pPr>
      <w:r>
        <w:rPr>
          <w:lang w:val="en-US" w:eastAsia="en-US"/>
        </w:rPr>
        <w:t>开户行：</w:t>
      </w:r>
    </w:p>
    <w:p w14:paraId="002C9A04">
      <w:pPr>
        <w:pStyle w:val="2"/>
        <w:bidi w:val="0"/>
        <w:ind w:firstLine="883"/>
        <w:rPr>
          <w:lang w:val="en-US" w:eastAsia="en-US"/>
        </w:rPr>
      </w:pPr>
      <w:r>
        <w:rPr>
          <w:lang w:val="en-US" w:eastAsia="en-US"/>
        </w:rPr>
        <w:t>银行帐号：</w:t>
      </w:r>
    </w:p>
    <w:p w14:paraId="31DDDDD2">
      <w:pPr>
        <w:pStyle w:val="2"/>
        <w:bidi w:val="0"/>
        <w:ind w:firstLine="883"/>
        <w:rPr>
          <w:b/>
          <w:bCs/>
          <w:lang w:val="en-US" w:eastAsia="en-US"/>
        </w:rPr>
      </w:pPr>
      <w:r>
        <w:rPr>
          <w:b/>
          <w:bCs/>
          <w:lang w:val="en-US" w:eastAsia="en-US"/>
        </w:rPr>
        <w:t>五、知识产权与保密</w:t>
      </w:r>
    </w:p>
    <w:p w14:paraId="11182956">
      <w:pPr>
        <w:pStyle w:val="2"/>
        <w:bidi w:val="0"/>
        <w:ind w:firstLine="883"/>
        <w:rPr>
          <w:lang w:val="en-US" w:eastAsia="en-US"/>
        </w:rPr>
      </w:pPr>
      <w:r>
        <w:rPr>
          <w:lang w:val="en-US" w:eastAsia="en-US"/>
        </w:rPr>
        <w:t>1.甲方对其提供的知识产品拥有绝对的知识产权，乙方对其考试系统、考试管理平台等软件系统和专有技术拥有绝对的知识产权，双方均承诺尊重与保护对方的知识产权；</w:t>
      </w:r>
    </w:p>
    <w:p w14:paraId="5E172E42">
      <w:pPr>
        <w:pStyle w:val="2"/>
        <w:bidi w:val="0"/>
        <w:ind w:firstLine="883"/>
        <w:rPr>
          <w:lang w:val="en-US" w:eastAsia="en-US"/>
        </w:rPr>
      </w:pPr>
      <w:r>
        <w:rPr>
          <w:lang w:val="en-US" w:eastAsia="en-US"/>
        </w:rPr>
        <w:t>2.为推进和执行本协议所涉事务，各方均有权在其宣传推广材料中使用对方的标识；</w:t>
      </w:r>
    </w:p>
    <w:p w14:paraId="00F14567">
      <w:pPr>
        <w:pStyle w:val="2"/>
        <w:bidi w:val="0"/>
        <w:ind w:firstLine="883"/>
        <w:rPr>
          <w:lang w:val="en-US" w:eastAsia="en-US"/>
        </w:rPr>
      </w:pPr>
      <w:r>
        <w:rPr>
          <w:lang w:val="en-US" w:eastAsia="en-US"/>
        </w:rPr>
        <w:t>3.双方各自对其因本协议下的合作而获知的对方的秘密信息承担保密义务。</w:t>
      </w:r>
    </w:p>
    <w:p w14:paraId="050FBB33">
      <w:pPr>
        <w:pStyle w:val="2"/>
        <w:bidi w:val="0"/>
        <w:ind w:firstLine="883"/>
        <w:rPr>
          <w:b/>
          <w:bCs/>
          <w:lang w:val="en-US" w:eastAsia="en-US"/>
        </w:rPr>
      </w:pPr>
      <w:r>
        <w:rPr>
          <w:b/>
          <w:bCs/>
          <w:lang w:val="en-US" w:eastAsia="en-US"/>
        </w:rPr>
        <w:t>六、技术风险与不可抗力</w:t>
      </w:r>
    </w:p>
    <w:p w14:paraId="47A4090D">
      <w:pPr>
        <w:pStyle w:val="2"/>
        <w:bidi w:val="0"/>
        <w:ind w:firstLine="883"/>
        <w:rPr>
          <w:lang w:val="en-US" w:eastAsia="en-US"/>
        </w:rPr>
      </w:pPr>
      <w:r>
        <w:rPr>
          <w:lang w:val="en-US" w:eastAsia="en-US"/>
        </w:rPr>
        <w:t>1.在本合同履行中，因出现在现有技术水平和条件下难以克服的技术困难，导致研究开发失败或部分失败，双方应各自承担风险损失；</w:t>
      </w:r>
    </w:p>
    <w:p w14:paraId="273389F6">
      <w:pPr>
        <w:pStyle w:val="2"/>
        <w:bidi w:val="0"/>
        <w:ind w:firstLine="883"/>
        <w:rPr>
          <w:lang w:val="en-US" w:eastAsia="en-US"/>
        </w:rPr>
      </w:pPr>
      <w:r>
        <w:rPr>
          <w:lang w:val="en-US" w:eastAsia="en-US"/>
        </w:rPr>
        <w:t>2.双方确定，本合同项目的技术风险按国家相关规定并双方友好协商的方式认定。认定技术风险的基本内容应当包括技术风险的存在、范围、程度及损失大小等。</w:t>
      </w:r>
    </w:p>
    <w:p w14:paraId="125D013E">
      <w:pPr>
        <w:pStyle w:val="2"/>
        <w:bidi w:val="0"/>
        <w:ind w:firstLine="883"/>
        <w:rPr>
          <w:lang w:val="en-US" w:eastAsia="en-US"/>
        </w:rPr>
      </w:pPr>
      <w:r>
        <w:rPr>
          <w:lang w:val="en-US" w:eastAsia="en-US"/>
        </w:rPr>
        <w:t>认定技术风险的基本条件是：</w:t>
      </w:r>
    </w:p>
    <w:p w14:paraId="7A4FC863">
      <w:pPr>
        <w:pStyle w:val="2"/>
        <w:bidi w:val="0"/>
        <w:ind w:firstLine="883"/>
        <w:rPr>
          <w:lang w:val="en-US" w:eastAsia="en-US"/>
        </w:rPr>
      </w:pPr>
      <w:r>
        <w:rPr>
          <w:lang w:val="en-US" w:eastAsia="en-US"/>
        </w:rPr>
        <w:t>(1)本合同项目在现有技术水平条件下具有足够的难度；</w:t>
      </w:r>
    </w:p>
    <w:p w14:paraId="5C08EC73">
      <w:pPr>
        <w:pStyle w:val="2"/>
        <w:bidi w:val="0"/>
        <w:ind w:firstLine="883"/>
        <w:rPr>
          <w:lang w:val="en-US" w:eastAsia="en-US"/>
        </w:rPr>
      </w:pPr>
      <w:r>
        <w:rPr>
          <w:lang w:val="en-US" w:eastAsia="en-US"/>
        </w:rPr>
        <w:t>(2)乙方在主观上无过错且经认定研究开发失败为合理的失败 。</w:t>
      </w:r>
    </w:p>
    <w:p w14:paraId="51257D03">
      <w:pPr>
        <w:pStyle w:val="2"/>
        <w:bidi w:val="0"/>
        <w:ind w:firstLine="883"/>
        <w:rPr>
          <w:lang w:val="en-US" w:eastAsia="en-US"/>
        </w:rPr>
      </w:pPr>
      <w:r>
        <w:rPr>
          <w:lang w:val="en-US" w:eastAsia="en-US"/>
        </w:rPr>
        <w:t>3.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14:paraId="404CF751">
      <w:pPr>
        <w:pStyle w:val="2"/>
        <w:bidi w:val="0"/>
        <w:ind w:firstLine="883"/>
        <w:rPr>
          <w:lang w:val="en-US" w:eastAsia="en-US"/>
        </w:rPr>
      </w:pPr>
      <w:r>
        <w:rPr>
          <w:lang w:val="en-US" w:eastAsia="en-US"/>
        </w:rPr>
        <w:t>4.本合同任何一方均有义务在发现技术风险及其他不可抗力因素存在并有可能致使研究开发失败或部分失败情形的7日内通知另一方并采取适当措施减少损失。逾期未通知并未采取适当措施而致使损失扩大的，应当就扩大的损失承担赔偿责任。</w:t>
      </w:r>
    </w:p>
    <w:p w14:paraId="42E4D23F">
      <w:pPr>
        <w:pStyle w:val="2"/>
        <w:bidi w:val="0"/>
        <w:ind w:firstLine="883"/>
        <w:rPr>
          <w:lang w:val="en-US" w:eastAsia="en-US"/>
        </w:rPr>
      </w:pPr>
      <w:r>
        <w:rPr>
          <w:b/>
          <w:bCs/>
          <w:lang w:val="en-US" w:eastAsia="en-US"/>
        </w:rPr>
        <w:t>七、在履行本合同过程中，甲乙双方确认按如下方式处理相关的权益</w:t>
      </w:r>
      <w:r>
        <w:rPr>
          <w:lang w:val="en-US" w:eastAsia="en-US"/>
        </w:rPr>
        <w:t>：</w:t>
      </w:r>
    </w:p>
    <w:p w14:paraId="3F3F0A59">
      <w:pPr>
        <w:pStyle w:val="2"/>
        <w:bidi w:val="0"/>
        <w:ind w:firstLine="883"/>
        <w:rPr>
          <w:lang w:val="en-US" w:eastAsia="en-US"/>
        </w:rPr>
      </w:pPr>
      <w:r>
        <w:rPr>
          <w:lang w:val="en-US" w:eastAsia="en-US"/>
        </w:rPr>
        <w:t>1</w:t>
      </w:r>
      <w:r>
        <w:rPr>
          <w:rFonts w:hint="eastAsia"/>
          <w:lang w:val="en-US" w:eastAsia="zh-CN"/>
        </w:rPr>
        <w:t>.</w:t>
      </w:r>
      <w:r>
        <w:rPr>
          <w:lang w:val="en-US" w:eastAsia="en-US"/>
        </w:rPr>
        <w:t>本合同项下软件系统的知识产权归属乙方；</w:t>
      </w:r>
    </w:p>
    <w:p w14:paraId="6B5C91E1">
      <w:pPr>
        <w:pStyle w:val="2"/>
        <w:bidi w:val="0"/>
        <w:ind w:firstLine="883"/>
        <w:rPr>
          <w:lang w:val="en-US" w:eastAsia="en-US"/>
        </w:rPr>
      </w:pPr>
      <w:r>
        <w:rPr>
          <w:lang w:val="en-US" w:eastAsia="en-US"/>
        </w:rPr>
        <w:t>2.甲方承诺并保证乙方的服务行为非视为乙方将本合同项下软件系统的知识产权转让给甲方，未经乙方书面确认许可，甲方不得擅自对与该软件系统进行复制、传播、反编译、破译等侵权行为；</w:t>
      </w:r>
    </w:p>
    <w:p w14:paraId="6BE84861">
      <w:pPr>
        <w:pStyle w:val="2"/>
        <w:bidi w:val="0"/>
        <w:ind w:firstLine="883"/>
        <w:rPr>
          <w:lang w:val="en-US" w:eastAsia="en-US"/>
        </w:rPr>
      </w:pPr>
      <w:r>
        <w:rPr>
          <w:rFonts w:hint="eastAsia"/>
          <w:lang w:val="en-US" w:eastAsia="zh-CN"/>
        </w:rPr>
        <w:t>3</w:t>
      </w:r>
      <w:r>
        <w:rPr>
          <w:lang w:val="en-US" w:eastAsia="en-US"/>
        </w:rPr>
        <w:t>.甲方有权使用本合同项下软件系统，但不得让第三方使用。</w:t>
      </w:r>
    </w:p>
    <w:p w14:paraId="4DFC7294">
      <w:pPr>
        <w:pStyle w:val="2"/>
        <w:bidi w:val="0"/>
        <w:ind w:firstLine="883"/>
        <w:rPr>
          <w:b/>
          <w:bCs/>
          <w:lang w:val="en-US" w:eastAsia="en-US"/>
        </w:rPr>
      </w:pPr>
      <w:r>
        <w:rPr>
          <w:b/>
          <w:bCs/>
          <w:lang w:val="en-US" w:eastAsia="en-US"/>
        </w:rPr>
        <w:t>八、违约责任</w:t>
      </w:r>
    </w:p>
    <w:p w14:paraId="6CF03AE8">
      <w:pPr>
        <w:pStyle w:val="2"/>
        <w:bidi w:val="0"/>
        <w:ind w:firstLine="883"/>
        <w:rPr>
          <w:lang w:val="en-US" w:eastAsia="en-US"/>
        </w:rPr>
      </w:pPr>
      <w:r>
        <w:rPr>
          <w:lang w:val="en-US" w:eastAsia="en-US"/>
        </w:rPr>
        <w:t>任何一方违反本协议的约定，应赔偿由此给对方造成的损 失。</w:t>
      </w:r>
    </w:p>
    <w:p w14:paraId="5B71F484">
      <w:pPr>
        <w:pStyle w:val="2"/>
        <w:bidi w:val="0"/>
        <w:ind w:firstLine="883"/>
        <w:rPr>
          <w:b/>
          <w:bCs/>
          <w:lang w:val="en-US" w:eastAsia="en-US"/>
        </w:rPr>
      </w:pPr>
      <w:r>
        <w:rPr>
          <w:b/>
          <w:bCs/>
          <w:lang w:val="en-US" w:eastAsia="en-US"/>
        </w:rPr>
        <w:t>九、协议期限和终止</w:t>
      </w:r>
    </w:p>
    <w:p w14:paraId="248D2284">
      <w:pPr>
        <w:pStyle w:val="2"/>
        <w:bidi w:val="0"/>
        <w:ind w:firstLine="883"/>
        <w:rPr>
          <w:lang w:val="en-US" w:eastAsia="en-US"/>
        </w:rPr>
      </w:pPr>
      <w:r>
        <w:rPr>
          <w:lang w:val="en-US" w:eastAsia="en-US"/>
        </w:rPr>
        <w:t>1.本协议有效期为自合同签订日起至</w:t>
      </w:r>
      <w:r>
        <w:rPr>
          <w:rFonts w:hint="eastAsia"/>
          <w:lang w:val="en-US" w:eastAsia="zh-CN"/>
        </w:rPr>
        <w:t xml:space="preserve">     </w:t>
      </w:r>
      <w:r>
        <w:rPr>
          <w:lang w:val="en-US" w:eastAsia="en-US"/>
        </w:rPr>
        <w:t>年</w:t>
      </w:r>
      <w:r>
        <w:rPr>
          <w:rFonts w:hint="eastAsia"/>
          <w:lang w:val="en-US" w:eastAsia="zh-CN"/>
        </w:rPr>
        <w:t xml:space="preserve">    </w:t>
      </w:r>
      <w:r>
        <w:rPr>
          <w:lang w:val="en-US" w:eastAsia="en-US"/>
        </w:rPr>
        <w:t>月</w:t>
      </w:r>
      <w:r>
        <w:rPr>
          <w:rFonts w:hint="eastAsia"/>
          <w:lang w:val="en-US" w:eastAsia="zh-CN"/>
        </w:rPr>
        <w:t xml:space="preserve">    </w:t>
      </w:r>
      <w:r>
        <w:rPr>
          <w:lang w:val="en-US" w:eastAsia="en-US"/>
        </w:rPr>
        <w:t>日；</w:t>
      </w:r>
    </w:p>
    <w:p w14:paraId="3F368682">
      <w:pPr>
        <w:pStyle w:val="2"/>
        <w:bidi w:val="0"/>
        <w:ind w:firstLine="883"/>
        <w:rPr>
          <w:lang w:val="en-US" w:eastAsia="en-US"/>
        </w:rPr>
      </w:pPr>
      <w:r>
        <w:rPr>
          <w:lang w:val="en-US" w:eastAsia="en-US"/>
        </w:rPr>
        <w:t>2.若乙方破产或停业，本协议自行终止；双方协商一致，可提前解除本协议；任何一方严重违反本协议，经另一方书面通知后三个月内仍未补正的，另一方有权单方面终止本协议；</w:t>
      </w:r>
    </w:p>
    <w:p w14:paraId="0A2251BC">
      <w:pPr>
        <w:pStyle w:val="2"/>
        <w:bidi w:val="0"/>
        <w:ind w:firstLine="883"/>
        <w:rPr>
          <w:lang w:val="en-US" w:eastAsia="en-US"/>
        </w:rPr>
      </w:pPr>
      <w:r>
        <w:rPr>
          <w:lang w:val="en-US" w:eastAsia="en-US"/>
        </w:rPr>
        <w:drawing>
          <wp:anchor distT="0" distB="0" distL="0" distR="0" simplePos="0" relativeHeight="251659264" behindDoc="1" locked="0" layoutInCell="1" allowOverlap="1">
            <wp:simplePos x="0" y="0"/>
            <wp:positionH relativeFrom="column">
              <wp:posOffset>6464300</wp:posOffset>
            </wp:positionH>
            <wp:positionV relativeFrom="paragraph">
              <wp:posOffset>577850</wp:posOffset>
            </wp:positionV>
            <wp:extent cx="168910" cy="652145"/>
            <wp:effectExtent l="0" t="0" r="0" b="0"/>
            <wp:wrapNone/>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7"/>
                    <a:stretch>
                      <a:fillRect/>
                    </a:stretch>
                  </pic:blipFill>
                  <pic:spPr>
                    <a:xfrm>
                      <a:off x="0" y="0"/>
                      <a:ext cx="168872" cy="652427"/>
                    </a:xfrm>
                    <a:prstGeom prst="rect">
                      <a:avLst/>
                    </a:prstGeom>
                  </pic:spPr>
                </pic:pic>
              </a:graphicData>
            </a:graphic>
          </wp:anchor>
        </w:drawing>
      </w:r>
      <w:r>
        <w:rPr>
          <w:lang w:val="en-US" w:eastAsia="en-US"/>
        </w:rPr>
        <w:t>3.本协议终止不影响本协议知识产权与保密条款效力。</w:t>
      </w:r>
    </w:p>
    <w:p w14:paraId="04E48577">
      <w:pPr>
        <w:pStyle w:val="2"/>
        <w:bidi w:val="0"/>
        <w:ind w:firstLine="883"/>
        <w:rPr>
          <w:b/>
          <w:bCs/>
          <w:lang w:val="en-US" w:eastAsia="en-US"/>
        </w:rPr>
      </w:pPr>
      <w:r>
        <w:rPr>
          <w:b/>
          <w:bCs/>
          <w:lang w:val="en-US" w:eastAsia="en-US"/>
        </w:rPr>
        <w:t>十、争议处理</w:t>
      </w:r>
    </w:p>
    <w:p w14:paraId="60CB8D6F">
      <w:pPr>
        <w:pStyle w:val="2"/>
        <w:bidi w:val="0"/>
        <w:ind w:firstLine="883"/>
        <w:rPr>
          <w:lang w:val="en-US" w:eastAsia="en-US"/>
        </w:rPr>
      </w:pPr>
      <w:r>
        <w:rPr>
          <w:lang w:val="en-US" w:eastAsia="en-US"/>
        </w:rPr>
        <w:t>甲乙双方因履行本合同而发生的争议，应协商、调解解决。协商、调解不成的，依法向甲方所在地人民法院提起诉讼。</w:t>
      </w:r>
    </w:p>
    <w:p w14:paraId="19769217">
      <w:pPr>
        <w:pStyle w:val="2"/>
        <w:bidi w:val="0"/>
        <w:ind w:firstLine="883"/>
        <w:rPr>
          <w:b/>
          <w:bCs/>
          <w:lang w:val="en-US" w:eastAsia="en-US"/>
        </w:rPr>
      </w:pPr>
      <w:r>
        <w:rPr>
          <w:b/>
          <w:bCs/>
          <w:lang w:val="en-US" w:eastAsia="en-US"/>
        </w:rPr>
        <w:t>十一、其他约定</w:t>
      </w:r>
    </w:p>
    <w:p w14:paraId="4567F2DA">
      <w:pPr>
        <w:pStyle w:val="2"/>
        <w:bidi w:val="0"/>
        <w:ind w:firstLine="883"/>
        <w:rPr>
          <w:lang w:val="en-US" w:eastAsia="en-US"/>
        </w:rPr>
      </w:pPr>
      <w:r>
        <w:rPr>
          <w:lang w:val="en-US" w:eastAsia="en-US"/>
        </w:rPr>
        <w:t>1.本合同一式六份，均具有同等法律效力；</w:t>
      </w:r>
    </w:p>
    <w:p w14:paraId="6083AA5D">
      <w:pPr>
        <w:pStyle w:val="2"/>
        <w:bidi w:val="0"/>
        <w:ind w:firstLine="883"/>
        <w:rPr>
          <w:lang w:val="en-US" w:eastAsia="en-US"/>
        </w:rPr>
      </w:pPr>
      <w:r>
        <w:rPr>
          <w:lang w:val="en-US" w:eastAsia="en-US"/>
        </w:rPr>
        <w:t>2.招标文件、投标文件和承诺书作为合同附件，与本合同具有同等法律效力。本合同中没有详细说明的，以招标文件、投标文件为依据。如有冲突的，以最符合甲方的利益为准；</w:t>
      </w:r>
    </w:p>
    <w:p w14:paraId="2080B0DB">
      <w:pPr>
        <w:pStyle w:val="2"/>
        <w:bidi w:val="0"/>
        <w:ind w:firstLine="883"/>
        <w:rPr>
          <w:lang w:val="en-US" w:eastAsia="en-US"/>
        </w:rPr>
      </w:pPr>
      <w:r>
        <w:rPr>
          <w:lang w:val="en-US" w:eastAsia="en-US"/>
        </w:rPr>
        <w:t>3.本合同未尽事宜，双方应协商一致后签订补充合同、备忘录文件或其他书面确认的文件。补充合同或其他书面确认的文件与本合同具有同等法律效力。</w:t>
      </w:r>
    </w:p>
    <w:p w14:paraId="33F1010B">
      <w:pPr>
        <w:pStyle w:val="2"/>
        <w:bidi w:val="0"/>
        <w:ind w:left="0" w:leftChars="0" w:firstLine="0" w:firstLineChars="0"/>
        <w:rPr>
          <w:rFonts w:hint="default"/>
          <w:lang w:val="en-US" w:eastAsia="zh-CN"/>
        </w:rPr>
      </w:pPr>
      <w:r>
        <w:rPr>
          <w:rFonts w:hint="eastAsia"/>
          <w:lang w:val="en-US" w:eastAsia="zh-CN"/>
        </w:rPr>
        <w:t>甲方：                            乙方：</w:t>
      </w:r>
    </w:p>
    <w:p w14:paraId="2B58E142">
      <w:pPr>
        <w:pStyle w:val="2"/>
        <w:bidi w:val="0"/>
        <w:ind w:left="0" w:leftChars="0" w:firstLine="0" w:firstLineChars="0"/>
        <w:rPr>
          <w:rFonts w:hint="eastAsia"/>
          <w:lang w:val="en-US" w:eastAsia="zh-CN"/>
        </w:rPr>
      </w:pPr>
      <w:r>
        <w:rPr>
          <w:rFonts w:hint="eastAsia"/>
          <w:lang w:val="en-US" w:eastAsia="zh-CN"/>
        </w:rPr>
        <w:t>地址：                            地址：</w:t>
      </w:r>
    </w:p>
    <w:p w14:paraId="096FD9DB">
      <w:pPr>
        <w:pStyle w:val="2"/>
        <w:bidi w:val="0"/>
        <w:ind w:left="0" w:leftChars="0" w:firstLine="0" w:firstLineChars="0"/>
        <w:rPr>
          <w:rFonts w:hint="eastAsia"/>
          <w:lang w:val="en-US" w:eastAsia="zh-CN"/>
        </w:rPr>
      </w:pPr>
      <w:r>
        <w:rPr>
          <w:rFonts w:hint="eastAsia"/>
          <w:lang w:val="en-US" w:eastAsia="zh-CN"/>
        </w:rPr>
        <w:t>邮编：                            邮编：</w:t>
      </w:r>
    </w:p>
    <w:p w14:paraId="43538E44">
      <w:pPr>
        <w:pStyle w:val="2"/>
        <w:bidi w:val="0"/>
        <w:ind w:left="0" w:leftChars="0" w:firstLine="0" w:firstLineChars="0"/>
        <w:rPr>
          <w:rFonts w:hint="eastAsia"/>
          <w:lang w:val="en-US" w:eastAsia="zh-CN"/>
        </w:rPr>
      </w:pPr>
      <w:r>
        <w:rPr>
          <w:rFonts w:hint="eastAsia"/>
          <w:lang w:val="en-US" w:eastAsia="zh-CN"/>
        </w:rPr>
        <w:t>法定代表人/授权委托人：           法定代表人/授权委托人：</w:t>
      </w:r>
    </w:p>
    <w:p w14:paraId="0A8AC514">
      <w:pPr>
        <w:pStyle w:val="2"/>
        <w:bidi w:val="0"/>
        <w:ind w:left="0" w:leftChars="0" w:firstLine="0" w:firstLineChars="0"/>
        <w:rPr>
          <w:rFonts w:hint="eastAsia"/>
          <w:lang w:val="en-US" w:eastAsia="zh-CN"/>
        </w:rPr>
      </w:pPr>
      <w:r>
        <w:rPr>
          <w:rFonts w:hint="eastAsia"/>
          <w:lang w:val="en-US" w:eastAsia="zh-CN"/>
        </w:rPr>
        <w:t>联系电话：                        联系电话：</w:t>
      </w:r>
    </w:p>
    <w:p w14:paraId="19507180">
      <w:pPr>
        <w:pStyle w:val="2"/>
        <w:bidi w:val="0"/>
        <w:ind w:left="0" w:leftChars="0" w:firstLine="0" w:firstLineChars="0"/>
        <w:rPr>
          <w:rFonts w:hint="default"/>
          <w:lang w:val="en-US" w:eastAsia="zh-CN"/>
        </w:rPr>
      </w:pPr>
      <w:r>
        <w:rPr>
          <w:rFonts w:hint="eastAsia"/>
          <w:lang w:val="en-US" w:eastAsia="zh-CN"/>
        </w:rPr>
        <w:t>签订日期：                        签订日期：</w:t>
      </w:r>
    </w:p>
    <w:p w14:paraId="67CFF304">
      <w:pPr>
        <w:pStyle w:val="2"/>
        <w:bidi w:val="0"/>
        <w:ind w:firstLine="883"/>
        <w:rPr>
          <w:lang w:val="en-US" w:eastAsia="en-US"/>
        </w:rPr>
        <w:sectPr>
          <w:footerReference r:id="rId5" w:type="default"/>
          <w:pgSz w:w="11870" w:h="17130"/>
          <w:pgMar w:top="1440" w:right="1080" w:bottom="1440" w:left="1080" w:header="0" w:footer="0" w:gutter="0"/>
          <w:cols w:equalWidth="0" w:num="1">
            <w:col w:w="8981"/>
          </w:cols>
        </w:sectPr>
      </w:pPr>
    </w:p>
    <w:p w14:paraId="3DCF77CA">
      <w:pPr>
        <w:pStyle w:val="2"/>
        <w:bidi w:val="0"/>
        <w:ind w:firstLine="883"/>
        <w:rPr>
          <w:lang w:val="en-US" w:eastAsia="en-US"/>
        </w:rPr>
      </w:pPr>
      <w:r>
        <w:rPr>
          <w:lang w:val="en-US" w:eastAsia="en-US"/>
        </w:rPr>
        <w:br w:type="column"/>
      </w:r>
    </w:p>
    <w:sectPr>
      <w:type w:val="continuous"/>
      <w:pgSz w:w="11870" w:h="17130"/>
      <w:pgMar w:top="1354" w:right="1629" w:bottom="1750" w:left="1260" w:header="0" w:footer="1542" w:gutter="0"/>
      <w:cols w:equalWidth="0" w:num="2">
        <w:col w:w="4361" w:space="100"/>
        <w:col w:w="4521"/>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A9ACC">
    <w:pPr>
      <w:spacing w:line="179" w:lineRule="auto"/>
      <w:ind w:left="8619"/>
      <w:rPr>
        <w:rFonts w:ascii="Times New Roman" w:hAnsi="Times New Roman" w:eastAsia="Times New Roman" w:cs="Times New Roman"/>
        <w:sz w:val="23"/>
        <w:szCs w:val="2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31330944"/>
    <w:rsid w:val="4C5459D5"/>
    <w:rsid w:val="560E3442"/>
    <w:rsid w:val="652D5110"/>
    <w:rsid w:val="6AC82D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line="360" w:lineRule="auto"/>
      <w:ind w:firstLine="883" w:firstLineChars="200"/>
    </w:pPr>
    <w:rPr>
      <w:rFonts w:ascii="仿宋" w:hAnsi="仿宋" w:eastAsia="仿宋" w:cs="仿宋"/>
      <w:sz w:val="28"/>
      <w:szCs w:val="31"/>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5"/>
      <w:szCs w:val="25"/>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3769</Words>
  <Characters>3865</Characters>
  <TotalTime>10</TotalTime>
  <ScaleCrop>false</ScaleCrop>
  <LinksUpToDate>false</LinksUpToDate>
  <CharactersWithSpaces>4188</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2026-04-01T10:03:00Z</dcterms:created>
  <dc:creator>DELL</dc:creator>
  <cp:lastModifiedBy>拾染</cp:lastModifiedBy>
  <dcterms:modified xsi:type="dcterms:W3CDTF">2026-04-01T03:16:08Z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2026-04-01T10:03:13Z</vt:filetime>
  </property>
  <property fmtid="{D5CDD505-2E9C-101B-9397-08002B2CF9AE}" pid="4" name="UsrData">
    <vt:lpwstr>69cc7cd9631491002073e1ebwl</vt:lpwstr>
  </property>
  <property fmtid="{D5CDD505-2E9C-101B-9397-08002B2CF9AE}" pid="5" name="KSOTemplateDocerSaveRecord">
    <vt:lpwstr>eyJoZGlkIjoiNDkzNWMwZWMyZGFhMDk1YTRmNWFkMGIwZmY4NmNhNGMiLCJ1c2VySWQiOiI5Mjc2NjcyNTEifQ==</vt:lpwstr>
  </property>
  <property fmtid="{D5CDD505-2E9C-101B-9397-08002B2CF9AE}" pid="6" name="KSOProductBuildVer">
    <vt:lpwstr>2052-12.1.0.25225</vt:lpwstr>
  </property>
  <property fmtid="{D5CDD505-2E9C-101B-9397-08002B2CF9AE}" pid="7" name="ICV">
    <vt:lpwstr>A3132F38B0BC4DAF8451C72E07630E1C_13</vt:lpwstr>
  </property>
</Properties>
</file>