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版本号：ZSZX-2026-ZB03520260331001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材料库房租赁</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ZSZX-2026-ZB035</w:t>
      </w:r>
      <w:r>
        <w:br/>
      </w:r>
      <w:r>
        <w:br/>
      </w:r>
      <w:r>
        <w:br/>
      </w:r>
    </w:p>
    <w:p>
      <w:pPr>
        <w:pStyle w:val="null3"/>
        <w:jc w:val="center"/>
        <w:outlineLvl w:val="2"/>
      </w:pPr>
      <w:r>
        <w:rPr>
          <w:rFonts w:ascii="仿宋_GB2312" w:hAnsi="仿宋_GB2312" w:cs="仿宋_GB2312" w:eastAsia="仿宋_GB2312"/>
          <w:sz w:val="28"/>
          <w:b/>
        </w:rPr>
        <w:t>西安市城市照明管护中心</w:t>
      </w:r>
    </w:p>
    <w:p>
      <w:pPr>
        <w:pStyle w:val="null3"/>
        <w:jc w:val="center"/>
        <w:outlineLvl w:val="2"/>
      </w:pPr>
      <w:r>
        <w:rPr>
          <w:rFonts w:ascii="仿宋_GB2312" w:hAnsi="仿宋_GB2312" w:cs="仿宋_GB2312" w:eastAsia="仿宋_GB2312"/>
          <w:sz w:val="28"/>
          <w:b/>
        </w:rPr>
        <w:t>中晟众信工程咨询集团有限公司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中晟众信工程咨询集团有限公司</w:t>
      </w:r>
      <w:r>
        <w:rPr>
          <w:rFonts w:ascii="仿宋_GB2312" w:hAnsi="仿宋_GB2312" w:cs="仿宋_GB2312" w:eastAsia="仿宋_GB2312"/>
        </w:rPr>
        <w:t>（以下简称“代理机构”）受</w:t>
      </w:r>
      <w:r>
        <w:rPr>
          <w:rFonts w:ascii="仿宋_GB2312" w:hAnsi="仿宋_GB2312" w:cs="仿宋_GB2312" w:eastAsia="仿宋_GB2312"/>
        </w:rPr>
        <w:t>西安市城市照明管护中心</w:t>
      </w:r>
      <w:r>
        <w:rPr>
          <w:rFonts w:ascii="仿宋_GB2312" w:hAnsi="仿宋_GB2312" w:cs="仿宋_GB2312" w:eastAsia="仿宋_GB2312"/>
        </w:rPr>
        <w:t>委托，拟对</w:t>
      </w:r>
      <w:r>
        <w:rPr>
          <w:rFonts w:ascii="仿宋_GB2312" w:hAnsi="仿宋_GB2312" w:cs="仿宋_GB2312" w:eastAsia="仿宋_GB2312"/>
        </w:rPr>
        <w:t>材料库房租赁</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ZSZX-2026-ZB035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材料库房租赁</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我中心拟租赁材料库房一处，用于存放大宗照明设施维护材料、废旧照明设施的暂存和周转</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采购包1（材料库房租赁项目）：属于专门面向中小企业采购。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2、财务状况报告：提供2024年或2025年度经审计的财务报告（包括“ 四表一注” 即资产负债表》《利润表》《现金流量表》《所有者权益变动表》及其附注或基本存款账户开户银行出具的资信证明及基本存款账户开户许可证（基本账户信息）；成立时间至提交磋商响应文件截止时间不足一年的可提供成立后任意时段的资产负债表）;</w:t>
      </w:r>
    </w:p>
    <w:p>
      <w:pPr>
        <w:pStyle w:val="null3"/>
      </w:pPr>
      <w:r>
        <w:rPr>
          <w:rFonts w:ascii="仿宋_GB2312" w:hAnsi="仿宋_GB2312" w:cs="仿宋_GB2312" w:eastAsia="仿宋_GB2312"/>
        </w:rPr>
        <w:t>3、税收缴纳证明：提供递交响应文件截止之日前一年内任意一个月的纳税证明或完税证明，依法免税的单位应提供相关证明材料；</w:t>
      </w:r>
    </w:p>
    <w:p>
      <w:pPr>
        <w:pStyle w:val="null3"/>
      </w:pPr>
      <w:r>
        <w:rPr>
          <w:rFonts w:ascii="仿宋_GB2312" w:hAnsi="仿宋_GB2312" w:cs="仿宋_GB2312" w:eastAsia="仿宋_GB2312"/>
        </w:rPr>
        <w:t>4、社会保障资金缴纳证明：提供递交响应文件截止之日前一年内任意一个月的社会保障资金缴存单据或社保机构开具的社会保险参保缴费情况证明，依法不需要缴纳社会保障资金的单位应提供相关证明材料;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5、履行合同所必需的设备和专业技术能力：提供具备履行合同所必须的设备和专业技术能力的书面声明;</w:t>
      </w:r>
    </w:p>
    <w:p>
      <w:pPr>
        <w:pStyle w:val="null3"/>
      </w:pPr>
      <w:r>
        <w:rPr>
          <w:rFonts w:ascii="仿宋_GB2312" w:hAnsi="仿宋_GB2312" w:cs="仿宋_GB2312" w:eastAsia="仿宋_GB2312"/>
        </w:rPr>
        <w:t>6、前三年无重大违法记录声明：参加政府采购活动前三年内，在经营活动中没有重大违法记录的书面声明;</w:t>
      </w:r>
    </w:p>
    <w:p>
      <w:pPr>
        <w:pStyle w:val="null3"/>
      </w:pPr>
      <w:r>
        <w:rPr>
          <w:rFonts w:ascii="仿宋_GB2312" w:hAnsi="仿宋_GB2312" w:cs="仿宋_GB2312" w:eastAsia="仿宋_GB2312"/>
        </w:rPr>
        <w:t>7、信用查询：供应商不得为“信用中国”网站(http://www.creditchina.gov.cn)列入“失信被执行人（页面跳转至“中国执行信息公开网”http://zxgk.court.gov.cn/shixin/）、重大税收违法失信主体”的供应商；不得为中国政府采购网(http://www.ccgp.gov.cn)“政府采购严重违法失信行为记录名单”中的供应商；</w:t>
      </w:r>
    </w:p>
    <w:p>
      <w:pPr>
        <w:pStyle w:val="null3"/>
      </w:pPr>
      <w:r>
        <w:rPr>
          <w:rFonts w:ascii="仿宋_GB2312" w:hAnsi="仿宋_GB2312" w:cs="仿宋_GB2312" w:eastAsia="仿宋_GB2312"/>
        </w:rPr>
        <w:t>8、授权书及被授权人身份证：法定代表人授权委托书、被授权人身份证（法定代表人参加磋商时,只需提供法定代表人身份证）；</w:t>
      </w:r>
    </w:p>
    <w:p>
      <w:pPr>
        <w:pStyle w:val="null3"/>
      </w:pPr>
      <w:r>
        <w:rPr>
          <w:rFonts w:ascii="仿宋_GB2312" w:hAnsi="仿宋_GB2312" w:cs="仿宋_GB2312" w:eastAsia="仿宋_GB2312"/>
        </w:rPr>
        <w:t>9、联合体：本项目不接受联合体投标。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西安市城市照明管护中心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文景路南段13号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西安市城市照明管护中心经办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86289133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中晟众信工程咨询集团有限公司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西安市雁塔区南二环西段58号成长大厦58号成长大厦23楼2316</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17729014595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 1、以成交金额为基数，参照国家计委颁布的《招标代理服务费收费管理暂行办法》（计价格【2002】1980号）及《 国家发展改革委关于降低部分建设项目收费标准规范收费行为等有关问题的通知》发改价格[2011]534号文件收费标准的80%计取。 2、招标代理服务费由成交供应商支付，在领取《成交通知书》时，由成交供应商一次性支付给代理机构。 3、招标代理服务费缴纳账户 户名：中晟众信工程咨询集团有限公司陕西分公司 开户银行：中国银行股份有限公司陕西省分行 银行账号：103315493771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西安市城市照明管护中心</w:t>
      </w:r>
      <w:r>
        <w:rPr>
          <w:rFonts w:ascii="仿宋_GB2312" w:hAnsi="仿宋_GB2312" w:cs="仿宋_GB2312" w:eastAsia="仿宋_GB2312"/>
        </w:rPr>
        <w:t>和</w:t>
      </w:r>
      <w:r>
        <w:rPr>
          <w:rFonts w:ascii="仿宋_GB2312" w:hAnsi="仿宋_GB2312" w:cs="仿宋_GB2312" w:eastAsia="仿宋_GB2312"/>
        </w:rPr>
        <w:t>中晟众信工程咨询集团有限公司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西安市城市照明管护中心</w:t>
      </w:r>
      <w:r>
        <w:rPr>
          <w:rFonts w:ascii="仿宋_GB2312" w:hAnsi="仿宋_GB2312" w:cs="仿宋_GB2312" w:eastAsia="仿宋_GB2312"/>
        </w:rPr>
        <w:t>负责解释。除上述磋商文件内容，其他内容由</w:t>
      </w:r>
      <w:r>
        <w:rPr>
          <w:rFonts w:ascii="仿宋_GB2312" w:hAnsi="仿宋_GB2312" w:cs="仿宋_GB2312" w:eastAsia="仿宋_GB2312"/>
        </w:rPr>
        <w:t>中晟众信工程咨询集团有限公司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西安市城市照明管护中心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中晟众信工程咨询集团有限公司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中晟众信工程咨询集团有限公司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中晟众信工程咨询集团有限公司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中晟众信工程咨询集团有限公司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联系人：杜蕾</w:t>
      </w:r>
    </w:p>
    <w:p>
      <w:pPr>
        <w:pStyle w:val="null3"/>
      </w:pPr>
      <w:r>
        <w:rPr>
          <w:rFonts w:ascii="仿宋_GB2312" w:hAnsi="仿宋_GB2312" w:cs="仿宋_GB2312" w:eastAsia="仿宋_GB2312"/>
        </w:rPr>
        <w:t>联系电话：13309231793</w:t>
      </w:r>
    </w:p>
    <w:p>
      <w:pPr>
        <w:pStyle w:val="null3"/>
      </w:pPr>
      <w:r>
        <w:rPr>
          <w:rFonts w:ascii="仿宋_GB2312" w:hAnsi="仿宋_GB2312" w:cs="仿宋_GB2312" w:eastAsia="仿宋_GB2312"/>
        </w:rPr>
        <w:t>地址：西安市雁塔区南二环西段58号成长大厦58号成长大厦23楼2316</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我中心拟租赁材料库房一处，用于存放大宗照明设施维护材料、废旧照明设施的暂存和周转。要求库房位置位于西安市未央区北二环以外，北三环以内，交通便利。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960,000.00</w:t>
      </w:r>
    </w:p>
    <w:p>
      <w:pPr>
        <w:pStyle w:val="null3"/>
      </w:pPr>
      <w:r>
        <w:rPr>
          <w:rFonts w:ascii="仿宋_GB2312" w:hAnsi="仿宋_GB2312" w:cs="仿宋_GB2312" w:eastAsia="仿宋_GB2312"/>
        </w:rPr>
        <w:t>采购包最高限价（元）: 960,000.00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材料库房租赁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960,000.00</w:t>
            </w:r>
          </w:p>
        </w:tc>
        <w:tc>
          <w:tcPr>
            <w:tcW w:type="dxa" w:w="831"/>
          </w:tcPr>
          <w:p>
            <w:pPr>
              <w:pStyle w:val="null3"/>
            </w:pPr>
            <w:r>
              <w:rPr>
                <w:rFonts w:ascii="仿宋_GB2312" w:hAnsi="仿宋_GB2312" w:cs="仿宋_GB2312" w:eastAsia="仿宋_GB2312"/>
              </w:rPr>
              <w:t>处</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标的名称：材料库房租赁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20"/>
              <w:jc w:val="left"/>
            </w:pPr>
            <w:r>
              <w:rPr>
                <w:rFonts w:ascii="仿宋_GB2312" w:hAnsi="仿宋_GB2312" w:cs="仿宋_GB2312" w:eastAsia="仿宋_GB2312"/>
                <w:sz w:val="21"/>
              </w:rPr>
              <w:t>我中心拟租赁材料库房一处，用于存放大宗照明设施维护材料、废旧照明设施的暂存和周转。</w:t>
            </w:r>
          </w:p>
          <w:p>
            <w:pPr>
              <w:pStyle w:val="null3"/>
              <w:ind w:firstLine="420"/>
              <w:jc w:val="left"/>
            </w:pPr>
            <w:r>
              <w:rPr>
                <w:rFonts w:ascii="仿宋_GB2312" w:hAnsi="仿宋_GB2312" w:cs="仿宋_GB2312" w:eastAsia="仿宋_GB2312"/>
                <w:sz w:val="21"/>
              </w:rPr>
              <w:t>库房具体要求如下：</w:t>
            </w:r>
          </w:p>
          <w:p>
            <w:pPr>
              <w:pStyle w:val="null3"/>
              <w:ind w:firstLine="420"/>
              <w:jc w:val="left"/>
            </w:pPr>
            <w:r>
              <w:rPr>
                <w:rFonts w:ascii="仿宋_GB2312" w:hAnsi="仿宋_GB2312" w:cs="仿宋_GB2312" w:eastAsia="仿宋_GB2312"/>
                <w:sz w:val="21"/>
              </w:rPr>
              <w:t>1、库房位置：位于西安市未央区北二环以外，北三环以内，交通便利。</w:t>
            </w:r>
          </w:p>
          <w:p>
            <w:pPr>
              <w:pStyle w:val="null3"/>
              <w:ind w:firstLine="420"/>
              <w:jc w:val="left"/>
            </w:pPr>
            <w:r>
              <w:rPr>
                <w:rFonts w:ascii="仿宋_GB2312" w:hAnsi="仿宋_GB2312" w:cs="仿宋_GB2312" w:eastAsia="仿宋_GB2312"/>
                <w:sz w:val="21"/>
              </w:rPr>
              <w:t>2、结构型式：钢结构或钢混结构高仓材料库房。</w:t>
            </w:r>
          </w:p>
          <w:p>
            <w:pPr>
              <w:pStyle w:val="null3"/>
              <w:ind w:firstLine="420"/>
              <w:jc w:val="left"/>
            </w:pPr>
            <w:r>
              <w:rPr>
                <w:rFonts w:ascii="仿宋_GB2312" w:hAnsi="仿宋_GB2312" w:cs="仿宋_GB2312" w:eastAsia="仿宋_GB2312"/>
                <w:sz w:val="21"/>
              </w:rPr>
              <w:t>3、净使用面积：不小于2000㎡。</w:t>
            </w:r>
          </w:p>
          <w:p>
            <w:pPr>
              <w:pStyle w:val="null3"/>
              <w:ind w:firstLine="420"/>
              <w:jc w:val="left"/>
            </w:pPr>
            <w:r>
              <w:rPr>
                <w:rFonts w:ascii="仿宋_GB2312" w:hAnsi="仿宋_GB2312" w:cs="仿宋_GB2312" w:eastAsia="仿宋_GB2312"/>
                <w:sz w:val="21"/>
              </w:rPr>
              <w:t>4、室内高度：库房内净高≥10米，满足小型起重机作业要求。</w:t>
            </w:r>
          </w:p>
          <w:p>
            <w:pPr>
              <w:pStyle w:val="null3"/>
              <w:ind w:firstLine="420"/>
              <w:jc w:val="left"/>
            </w:pPr>
            <w:r>
              <w:rPr>
                <w:rFonts w:ascii="仿宋_GB2312" w:hAnsi="仿宋_GB2312" w:cs="仿宋_GB2312" w:eastAsia="仿宋_GB2312"/>
                <w:sz w:val="21"/>
              </w:rPr>
              <w:t>5、库区道路：道路平整硬化，满足大型拖挂车进出要求，且出入口前空间开阔，满足大型车辆停放和调头需求。</w:t>
            </w:r>
          </w:p>
          <w:p>
            <w:pPr>
              <w:pStyle w:val="null3"/>
              <w:ind w:firstLine="420"/>
              <w:jc w:val="left"/>
            </w:pPr>
            <w:r>
              <w:rPr>
                <w:rFonts w:ascii="仿宋_GB2312" w:hAnsi="仿宋_GB2312" w:cs="仿宋_GB2312" w:eastAsia="仿宋_GB2312"/>
                <w:sz w:val="21"/>
              </w:rPr>
              <w:t>6、安全设施：库房出入口配置高清监控设施，消防设施水平符合现行相关消防规定。</w:t>
            </w:r>
          </w:p>
          <w:p>
            <w:pPr>
              <w:pStyle w:val="null3"/>
              <w:ind w:firstLine="420"/>
              <w:jc w:val="left"/>
            </w:pPr>
            <w:r>
              <w:rPr>
                <w:rFonts w:ascii="仿宋_GB2312" w:hAnsi="仿宋_GB2312" w:cs="仿宋_GB2312" w:eastAsia="仿宋_GB2312"/>
                <w:sz w:val="21"/>
              </w:rPr>
              <w:t>7、其它要求：</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1）成交供应商须承担采购方原库房至新库房的全部搬迁费用（须提供承诺书）。</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 xml:space="preserve">2）供应商须提供拟租赁办公用房的房屋有效证件及面积证明资料：《房地产权证》或购房协议或房屋租赁合同和租赁方的营业执照等相关证明材料。                      </w:t>
            </w:r>
          </w:p>
          <w:p>
            <w:pPr>
              <w:pStyle w:val="null3"/>
              <w:ind w:firstLine="420"/>
              <w:jc w:val="left"/>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按《中华人民共和国政府采购法》、《中华人民共和国民法典》中的相关条款执行。 未按合同要求提供产品质量不能满足技术要求，采购人有权终止合同，并对供方违约行为进行追究。 未按合同或磋商文件要求的或者质量不能满足采购人要求的，采购单位有权终止合同，甚至对供应商违约行为进行追究。 供应商的磋商响应文件为签订正式书面合同书不可分割的部分，磋商响应应履行相应的责任。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 xml:space="preserve"> 1、本项目采用电子化投标与纸质投标并行的方式，供应商需要于磋商响应文件递交截止时间前在线提交电子响应文件，同时线下提交一正一副纸质版响应文件（提交地点：西安市南二环西段21号华融国际商务大厦A座21楼-D室）。 2、逾期送达的纸质版响应文件按无效磋商处理。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中小企业声明函 商务应答表 技术、商务应答表.docx 供应商应提交的相关资格证明材料 报价表 响应文件封面 残疾人福利性单位声明函 服务方案 标的清单 其他附件格式.docx 报价表.docx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其他附件格式.docx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提供2024年或2025年度经审计的财务报告（包括“ 四表一注” 即资产负债表》《利润表》《现金流量表》《所有者权益变动表》及其附注或基本存款账户开户银行出具的资信证明及基本存款账户开户许可证（基本账户信息）；成立时间至提交磋商响应文件截止时间不足一年的可提供成立后任意时段的资产负债表）;</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提供具备履行合同所必须的设备和专业技术能力的书面声明;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其他附件格式.docx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重大税收违法失信主体”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授权书及被授权人身份证</w:t>
            </w:r>
          </w:p>
        </w:tc>
        <w:tc>
          <w:tcPr>
            <w:tcW w:type="dxa" w:w="3322"/>
          </w:tcPr>
          <w:p>
            <w:pPr>
              <w:pStyle w:val="null3"/>
            </w:pPr>
            <w:r>
              <w:rPr>
                <w:rFonts w:ascii="仿宋_GB2312" w:hAnsi="仿宋_GB2312" w:cs="仿宋_GB2312" w:eastAsia="仿宋_GB2312"/>
              </w:rPr>
              <w:t>法定代表人授权委托书、被授权人身份证（法定代表人参加磋商时,只需提供法定代表人身份证）；</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 响应函 其他附件格式.docx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中小企业声明函 商务应答表 技术、商务应答表.docx 供应商应提交的相关资格证明材料 报价表 响应文件封面 残疾人福利性单位声明函 服务方案 标的清单 响应函 其他附件格式.docx 报价表.docx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 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租赁及改造方案</w:t>
            </w:r>
          </w:p>
        </w:tc>
        <w:tc>
          <w:tcPr>
            <w:tcW w:type="dxa" w:w="2492"/>
          </w:tcPr>
          <w:p>
            <w:pPr>
              <w:pStyle w:val="null3"/>
            </w:pPr>
            <w:r>
              <w:rPr>
                <w:rFonts w:ascii="仿宋_GB2312" w:hAnsi="仿宋_GB2312" w:cs="仿宋_GB2312" w:eastAsia="仿宋_GB2312"/>
              </w:rPr>
              <w:t>供应商根据本项目服务内容及要求提供方案，方案包括但不限于：①服务重难点分析；②服务目标及配合方案，③对大宗照明材料储存的规划布局。 方案合理全面、目标清晰透彻，规划合理能完全符合本项目需求得18分；方案基本合理全面、目标清晰透彻，规划基本符合本项目需求得12分；方案部分合理全面、目标较清晰透彻，规划部分符合本项目需求得 7分；方案部分合理全面，目标不清晰透彻，方案欠缺，内容空泛得2分；未提供不得分。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技术、商务应答表.docx</w:t>
            </w:r>
          </w:p>
        </w:tc>
      </w:tr>
      <w:tr>
        <w:tc>
          <w:tcPr>
            <w:tcW w:type="dxa" w:w="831"/>
            <w:vMerge/>
          </w:tcPr>
          <w:p/>
        </w:tc>
        <w:tc>
          <w:tcPr>
            <w:tcW w:type="dxa" w:w="1661"/>
          </w:tcPr>
          <w:p>
            <w:pPr>
              <w:pStyle w:val="null3"/>
            </w:pPr>
            <w:r>
              <w:rPr>
                <w:rFonts w:ascii="仿宋_GB2312" w:hAnsi="仿宋_GB2312" w:cs="仿宋_GB2312" w:eastAsia="仿宋_GB2312"/>
              </w:rPr>
              <w:t>基础配套设施情况</w:t>
            </w:r>
          </w:p>
        </w:tc>
        <w:tc>
          <w:tcPr>
            <w:tcW w:type="dxa" w:w="2492"/>
          </w:tcPr>
          <w:p>
            <w:pPr>
              <w:pStyle w:val="null3"/>
            </w:pPr>
            <w:r>
              <w:rPr>
                <w:rFonts w:ascii="仿宋_GB2312" w:hAnsi="仿宋_GB2312" w:cs="仿宋_GB2312" w:eastAsia="仿宋_GB2312"/>
              </w:rPr>
              <w:t>供应商提供拟租赁办公用房的①水②电③地理位置、交通状况。 提供完整齐全的基础配套设施每项得3分； 提供简单的基础配套设施每项得1分； 未提供不得分，本项满分9分。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设施配备的进度计划措施</w:t>
            </w:r>
          </w:p>
        </w:tc>
        <w:tc>
          <w:tcPr>
            <w:tcW w:type="dxa" w:w="2492"/>
          </w:tcPr>
          <w:p>
            <w:pPr>
              <w:pStyle w:val="null3"/>
            </w:pPr>
            <w:r>
              <w:rPr>
                <w:rFonts w:ascii="仿宋_GB2312" w:hAnsi="仿宋_GB2312" w:cs="仿宋_GB2312" w:eastAsia="仿宋_GB2312"/>
              </w:rPr>
              <w:t>进度计划措施包括但不限于：①租赁或自有园区库房改造的进度控制；②相应设备设施采购周期及安装进度把控等。进度计划措施详细、合理得10分；进度计划保证措施较详细、合理得7分；进度计划保证措施不清晰、较合理得4分；进度计划保证措施欠缺得2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技术、商务应答表.docx</w:t>
            </w:r>
          </w:p>
        </w:tc>
      </w:tr>
      <w:tr>
        <w:tc>
          <w:tcPr>
            <w:tcW w:type="dxa" w:w="831"/>
            <w:vMerge/>
          </w:tcPr>
          <w:p/>
        </w:tc>
        <w:tc>
          <w:tcPr>
            <w:tcW w:type="dxa" w:w="1661"/>
          </w:tcPr>
          <w:p>
            <w:pPr>
              <w:pStyle w:val="null3"/>
            </w:pPr>
            <w:r>
              <w:rPr>
                <w:rFonts w:ascii="仿宋_GB2312" w:hAnsi="仿宋_GB2312" w:cs="仿宋_GB2312" w:eastAsia="仿宋_GB2312"/>
              </w:rPr>
              <w:t>房屋无纠纷、可开具房屋租赁发票</w:t>
            </w:r>
          </w:p>
        </w:tc>
        <w:tc>
          <w:tcPr>
            <w:tcW w:type="dxa" w:w="2492"/>
          </w:tcPr>
          <w:p>
            <w:pPr>
              <w:pStyle w:val="null3"/>
            </w:pPr>
            <w:r>
              <w:rPr>
                <w:rFonts w:ascii="仿宋_GB2312" w:hAnsi="仿宋_GB2312" w:cs="仿宋_GB2312" w:eastAsia="仿宋_GB2312"/>
              </w:rPr>
              <w:t>供应商提供拟租赁办公用房无纠纷、可开具房屋租赁发票的承诺。 承诺内容齐全详细得6分； 承诺内容较齐全得4分； 承诺内容粗劣得2分；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安防措施</w:t>
            </w:r>
          </w:p>
        </w:tc>
        <w:tc>
          <w:tcPr>
            <w:tcW w:type="dxa" w:w="2492"/>
          </w:tcPr>
          <w:p>
            <w:pPr>
              <w:pStyle w:val="null3"/>
            </w:pPr>
            <w:r>
              <w:rPr>
                <w:rFonts w:ascii="仿宋_GB2312" w:hAnsi="仿宋_GB2312" w:cs="仿宋_GB2312" w:eastAsia="仿宋_GB2312"/>
              </w:rPr>
              <w:t>供应商根据本项目服务内容及要求提供的措施计划，措施计划包括但不限于租赁或自有园区的①防火；②防盗（出入口的监控设备，库区摄像头覆盖；③自然灾害等。 措施计划详细、合理，完全满足本项目需求得10分；措施计划较详细、较合理，基本满足项目需求得7分；措施计划不清晰，部分满足本项目需求得4分；措施计划欠缺，内容空泛得1分；未提供不得分。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技术、商务应答表.docx</w:t>
            </w:r>
          </w:p>
        </w:tc>
      </w:tr>
      <w:tr>
        <w:tc>
          <w:tcPr>
            <w:tcW w:type="dxa" w:w="831"/>
            <w:vMerge/>
          </w:tcPr>
          <w:p/>
        </w:tc>
        <w:tc>
          <w:tcPr>
            <w:tcW w:type="dxa" w:w="1661"/>
          </w:tcPr>
          <w:p>
            <w:pPr>
              <w:pStyle w:val="null3"/>
            </w:pPr>
            <w:r>
              <w:rPr>
                <w:rFonts w:ascii="仿宋_GB2312" w:hAnsi="仿宋_GB2312" w:cs="仿宋_GB2312" w:eastAsia="仿宋_GB2312"/>
              </w:rPr>
              <w:t>应急预案及保障措施</w:t>
            </w:r>
          </w:p>
        </w:tc>
        <w:tc>
          <w:tcPr>
            <w:tcW w:type="dxa" w:w="2492"/>
          </w:tcPr>
          <w:p>
            <w:pPr>
              <w:pStyle w:val="null3"/>
            </w:pPr>
            <w:r>
              <w:rPr>
                <w:rFonts w:ascii="仿宋_GB2312" w:hAnsi="仿宋_GB2312" w:cs="仿宋_GB2312" w:eastAsia="仿宋_GB2312"/>
              </w:rPr>
              <w:t>供应商提供应急预案及保证措施，包括但不限于租赁区域停水、停电、漏水等应急预案和应急设备等。 应急措施详细、合理、针对性强得8分; 应急措施较详细、较合理得5分； 应急措施简单笼统得2分；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技术、商务应答表.docx</w:t>
            </w:r>
          </w:p>
        </w:tc>
      </w:tr>
      <w:tr>
        <w:tc>
          <w:tcPr>
            <w:tcW w:type="dxa" w:w="831"/>
            <w:vMerge/>
          </w:tcPr>
          <w:p/>
        </w:tc>
        <w:tc>
          <w:tcPr>
            <w:tcW w:type="dxa" w:w="1661"/>
          </w:tcPr>
          <w:p>
            <w:pPr>
              <w:pStyle w:val="null3"/>
            </w:pPr>
            <w:r>
              <w:rPr>
                <w:rFonts w:ascii="仿宋_GB2312" w:hAnsi="仿宋_GB2312" w:cs="仿宋_GB2312" w:eastAsia="仿宋_GB2312"/>
              </w:rPr>
              <w:t>交接方案</w:t>
            </w:r>
          </w:p>
        </w:tc>
        <w:tc>
          <w:tcPr>
            <w:tcW w:type="dxa" w:w="2492"/>
          </w:tcPr>
          <w:p>
            <w:pPr>
              <w:pStyle w:val="null3"/>
            </w:pPr>
            <w:r>
              <w:rPr>
                <w:rFonts w:ascii="仿宋_GB2312" w:hAnsi="仿宋_GB2312" w:cs="仿宋_GB2312" w:eastAsia="仿宋_GB2312"/>
              </w:rPr>
              <w:t>针对房屋租赁时交接与退租时的实施方案合理、可行，根据方案完整度评分。 交接实施方案合理、可行得8分； 交接实施方案较合理、较可行得5分；方案粗略，可行性差得3分；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技术、商务应答表.docx</w:t>
            </w:r>
          </w:p>
        </w:tc>
      </w:tr>
      <w:tr>
        <w:tc>
          <w:tcPr>
            <w:tcW w:type="dxa" w:w="831"/>
            <w:vMerge/>
          </w:tcPr>
          <w:p/>
        </w:tc>
        <w:tc>
          <w:tcPr>
            <w:tcW w:type="dxa" w:w="1661"/>
          </w:tcPr>
          <w:p>
            <w:pPr>
              <w:pStyle w:val="null3"/>
            </w:pPr>
            <w:r>
              <w:rPr>
                <w:rFonts w:ascii="仿宋_GB2312" w:hAnsi="仿宋_GB2312" w:cs="仿宋_GB2312" w:eastAsia="仿宋_GB2312"/>
              </w:rPr>
              <w:t>售后及服务承诺</w:t>
            </w:r>
          </w:p>
        </w:tc>
        <w:tc>
          <w:tcPr>
            <w:tcW w:type="dxa" w:w="2492"/>
          </w:tcPr>
          <w:p>
            <w:pPr>
              <w:pStyle w:val="null3"/>
            </w:pPr>
            <w:r>
              <w:rPr>
                <w:rFonts w:ascii="仿宋_GB2312" w:hAnsi="仿宋_GB2312" w:cs="仿宋_GB2312" w:eastAsia="仿宋_GB2312"/>
              </w:rPr>
              <w:t>租赁期间对租赁地点所配备设施设备维修保证措施及服务承诺。 措施及承诺合理完善，执行性强得6分； 措施及承诺较合理完善，执行性较强得4分； 措施计划欠缺，内容空泛得2分；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技术、商务应答表.docx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详见附件：其他附件格式.docx</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详见附件：技术、商务应答表.docx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详见附件：材料库房项目 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