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版本号：ZSZX-2026-ZB03320260331001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日常公用经费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ZSZX-2026-ZB033</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日常公用经费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ZSZX-2026-ZB033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日常公用经费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西安市城市照明管护中心2026年日常公用经费采购，采购预算：900000.00元。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采购包1（日常公用经费）：属于专门面向中小企业采购。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1、具有独立法人资格：提供合格有效的法人或者其他组织的营业执照等证明文件，自然人的身份证明；供应商是法人或其他组织的应提供营业执照等证明文件，供应商是自然人的应提供有效的自然人身份证明；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2、财务状况报告：提供2024年或2025年度经审计的财务报告（包括“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p>
      <w:pPr>
        <w:pStyle w:val="null3"/>
      </w:pPr>
      <w:r>
        <w:rPr>
          <w:rFonts w:ascii="仿宋_GB2312" w:hAnsi="仿宋_GB2312" w:cs="仿宋_GB2312" w:eastAsia="仿宋_GB2312"/>
        </w:rPr>
        <w:t>3、税收缴纳证明：提供磋商截止日前6个月内已缴纳的至少一个月的纳税证明或完税证明，依法免税的单位应提供相关证明材料；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4、社会保障资金缴纳证明：提供磋商截止日前6个月已缴存的至少一个月的社会保障资金缴存单据或社保机构开具的社会保险参保缴费情况证明,依法不需要缴纳社会保障资金的单位应提供相关证明材料；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5、3年内无重大违法记录：参加政府采购活动前3年内, 在经营活动中没有重大违法记录的书面声明；</w:t>
      </w:r>
    </w:p>
    <w:p>
      <w:pPr>
        <w:pStyle w:val="null3"/>
      </w:pPr>
      <w:r>
        <w:rPr>
          <w:rFonts w:ascii="仿宋_GB2312" w:hAnsi="仿宋_GB2312" w:cs="仿宋_GB2312" w:eastAsia="仿宋_GB2312"/>
        </w:rPr>
        <w:t>6、履约能力：具备履行合同所必须的设备和专业技术能力的书面声明;</w:t>
      </w:r>
    </w:p>
    <w:p>
      <w:pPr>
        <w:pStyle w:val="null3"/>
      </w:pPr>
      <w:r>
        <w:rPr>
          <w:rFonts w:ascii="仿宋_GB2312" w:hAnsi="仿宋_GB2312" w:cs="仿宋_GB2312" w:eastAsia="仿宋_GB2312"/>
        </w:rPr>
        <w:t>7、信用查询：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8、法定代表人授权书：法定代表人授权委托书、被授权人身份证（法定代表人参加磋商时,只需提供法定代表人身份证）</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029-86289133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西安市雁塔区南二环西段58号成长大厦58号成长大厦23楼2316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17729014595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代理服务费收费标准：本项目收取代理服务费 代理服务费用收取对象：中标/成交供应商 代理服务费收费标准： 1、以成交金额为基数，参照国家计委颁布的《招标代理服务费收费管理暂行办法》（计价格【2002】1980号）及《 国家发展改革委关于降低部分建设项目收费标准规范收费行为等有关问题的通知》发改价格[2011]534号文件收费标准的80%计取。 2、招标代理服务费由成交供应商支付，在领取《成交通知书》时，由成交供应商一次性支付给代理机构。 3、招标代理服务费缴纳账户 户名：中晟众信工程咨询集团有限公司陕西分公司 开户银行：中国银行股份有限公司陕西省分行 银行账号：103315493771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联系人：杜蕾</w:t>
      </w:r>
    </w:p>
    <w:p>
      <w:pPr>
        <w:pStyle w:val="null3"/>
      </w:pPr>
      <w:r>
        <w:rPr>
          <w:rFonts w:ascii="仿宋_GB2312" w:hAnsi="仿宋_GB2312" w:cs="仿宋_GB2312" w:eastAsia="仿宋_GB2312"/>
        </w:rPr>
        <w:t>联系电话：13309231793</w:t>
      </w:r>
    </w:p>
    <w:p>
      <w:pPr>
        <w:pStyle w:val="null3"/>
      </w:pPr>
      <w:r>
        <w:rPr>
          <w:rFonts w:ascii="仿宋_GB2312" w:hAnsi="仿宋_GB2312" w:cs="仿宋_GB2312" w:eastAsia="仿宋_GB2312"/>
        </w:rPr>
        <w:t>地址：西安市雁塔区南二环西段58号成长大厦58号成长大厦23楼2316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中心办公区、材料库房等场所安保、保洁等服务；主要功能或目标:提供办公区域的安保、会务、保洁等服务,以及停车场、材料库房的管理服务，保证单位日常秩序正常运转。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日常公用经费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标的名称：日常公用经费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中心办公区</w:t>
            </w:r>
            <w:r>
              <w:rPr>
                <w:rFonts w:ascii="仿宋_GB2312" w:hAnsi="仿宋_GB2312" w:cs="仿宋_GB2312" w:eastAsia="仿宋_GB2312"/>
                <w:sz w:val="24"/>
              </w:rPr>
              <w:t>、</w:t>
            </w:r>
            <w:r>
              <w:rPr>
                <w:rFonts w:ascii="仿宋_GB2312" w:hAnsi="仿宋_GB2312" w:cs="仿宋_GB2312" w:eastAsia="仿宋_GB2312"/>
                <w:sz w:val="24"/>
              </w:rPr>
              <w:t>材料库房等场所</w:t>
            </w:r>
            <w:r>
              <w:rPr>
                <w:rFonts w:ascii="仿宋_GB2312" w:hAnsi="仿宋_GB2312" w:cs="仿宋_GB2312" w:eastAsia="仿宋_GB2312"/>
                <w:sz w:val="24"/>
              </w:rPr>
              <w:t>安保、保洁等服务；主要功能或目标</w:t>
            </w:r>
            <w:r>
              <w:rPr>
                <w:rFonts w:ascii="仿宋_GB2312" w:hAnsi="仿宋_GB2312" w:cs="仿宋_GB2312" w:eastAsia="仿宋_GB2312"/>
                <w:sz w:val="24"/>
              </w:rPr>
              <w:t>:提供办公区域的安保、会务、保洁等服务,以及停车场、材料库房的管理服务，保证单位日常秩序正常运转；供应商需满足的要求:有国家规定的相应资质，有两年以上的服务业绩，无不良纪录。</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供应商应建立健全管理制度及管理运行机制，档案资料管理、质量管理、员工培训等制度健全，通过先进的管理理念，科学的管理手段，专业的管理流程，为采购人提供安全、舒适的环境。供应商应按时支付岗位人员的薪资、社保及各种福利的专用经费、含服装、劳保用品及日常消耗用品等费用。</w:t>
            </w:r>
          </w:p>
          <w:p>
            <w:pPr>
              <w:pStyle w:val="null3"/>
              <w:jc w:val="both"/>
            </w:pPr>
            <w:r>
              <w:rPr>
                <w:rFonts w:ascii="仿宋_GB2312" w:hAnsi="仿宋_GB2312" w:cs="仿宋_GB2312" w:eastAsia="仿宋_GB2312"/>
                <w:sz w:val="24"/>
                <w:b/>
              </w:rPr>
              <w:t>三、服务范围</w:t>
            </w:r>
          </w:p>
          <w:p>
            <w:pPr>
              <w:pStyle w:val="null3"/>
              <w:jc w:val="left"/>
            </w:pPr>
            <w:r>
              <w:rPr>
                <w:rFonts w:ascii="仿宋_GB2312" w:hAnsi="仿宋_GB2312" w:cs="仿宋_GB2312" w:eastAsia="仿宋_GB2312"/>
                <w:b/>
              </w:rPr>
              <w:t xml:space="preserve">  </w:t>
            </w:r>
            <w:r>
              <w:rPr>
                <w:rFonts w:ascii="仿宋_GB2312" w:hAnsi="仿宋_GB2312" w:cs="仿宋_GB2312" w:eastAsia="仿宋_GB2312"/>
                <w:sz w:val="24"/>
              </w:rPr>
              <w:t>西安市城市照明管护中心全部办公区域和公共区域。</w:t>
            </w:r>
          </w:p>
          <w:p>
            <w:pPr>
              <w:pStyle w:val="null3"/>
            </w:pPr>
            <w:r>
              <w:rPr>
                <w:rFonts w:ascii="仿宋_GB2312" w:hAnsi="仿宋_GB2312" w:cs="仿宋_GB2312" w:eastAsia="仿宋_GB2312"/>
                <w:sz w:val="24"/>
                <w:b/>
              </w:rPr>
              <w:t>四、服务人员拟配备数量</w:t>
            </w:r>
          </w:p>
          <w:p>
            <w:pPr>
              <w:pStyle w:val="null3"/>
              <w:ind w:firstLine="481"/>
            </w:pPr>
            <w:r>
              <w:rPr>
                <w:rFonts w:ascii="仿宋_GB2312" w:hAnsi="仿宋_GB2312" w:cs="仿宋_GB2312" w:eastAsia="仿宋_GB2312"/>
                <w:sz w:val="24"/>
              </w:rPr>
              <w:t>管理人员</w:t>
            </w:r>
            <w:r>
              <w:rPr>
                <w:rFonts w:ascii="仿宋_GB2312" w:hAnsi="仿宋_GB2312" w:cs="仿宋_GB2312" w:eastAsia="仿宋_GB2312"/>
                <w:sz w:val="24"/>
              </w:rPr>
              <w:t>1名、维修人员1名、</w:t>
            </w:r>
            <w:r>
              <w:rPr>
                <w:rFonts w:ascii="仿宋_GB2312" w:hAnsi="仿宋_GB2312" w:cs="仿宋_GB2312" w:eastAsia="仿宋_GB2312"/>
                <w:sz w:val="24"/>
              </w:rPr>
              <w:t>勤杂</w:t>
            </w:r>
            <w:r>
              <w:rPr>
                <w:rFonts w:ascii="仿宋_GB2312" w:hAnsi="仿宋_GB2312" w:cs="仿宋_GB2312" w:eastAsia="仿宋_GB2312"/>
                <w:sz w:val="24"/>
              </w:rPr>
              <w:t>员</w:t>
            </w:r>
            <w:r>
              <w:rPr>
                <w:rFonts w:ascii="仿宋_GB2312" w:hAnsi="仿宋_GB2312" w:cs="仿宋_GB2312" w:eastAsia="仿宋_GB2312"/>
                <w:sz w:val="24"/>
              </w:rPr>
              <w:t>11</w:t>
            </w:r>
            <w:r>
              <w:rPr>
                <w:rFonts w:ascii="仿宋_GB2312" w:hAnsi="仿宋_GB2312" w:cs="仿宋_GB2312" w:eastAsia="仿宋_GB2312"/>
                <w:sz w:val="24"/>
              </w:rPr>
              <w:t>名、</w:t>
            </w:r>
            <w:r>
              <w:rPr>
                <w:rFonts w:ascii="仿宋_GB2312" w:hAnsi="仿宋_GB2312" w:cs="仿宋_GB2312" w:eastAsia="仿宋_GB2312"/>
                <w:sz w:val="24"/>
              </w:rPr>
              <w:t>特种作业</w:t>
            </w:r>
            <w:r>
              <w:rPr>
                <w:rFonts w:ascii="仿宋_GB2312" w:hAnsi="仿宋_GB2312" w:cs="仿宋_GB2312" w:eastAsia="仿宋_GB2312"/>
                <w:sz w:val="24"/>
              </w:rPr>
              <w:t>停车场看守人员</w:t>
            </w:r>
            <w:r>
              <w:rPr>
                <w:rFonts w:ascii="仿宋_GB2312" w:hAnsi="仿宋_GB2312" w:cs="仿宋_GB2312" w:eastAsia="仿宋_GB2312"/>
                <w:sz w:val="24"/>
              </w:rPr>
              <w:t>2名、保洁员3人、库房</w:t>
            </w:r>
            <w:r>
              <w:rPr>
                <w:rFonts w:ascii="仿宋_GB2312" w:hAnsi="仿宋_GB2312" w:cs="仿宋_GB2312" w:eastAsia="仿宋_GB2312"/>
                <w:sz w:val="24"/>
              </w:rPr>
              <w:t>安保</w:t>
            </w:r>
            <w:r>
              <w:rPr>
                <w:rFonts w:ascii="仿宋_GB2312" w:hAnsi="仿宋_GB2312" w:cs="仿宋_GB2312" w:eastAsia="仿宋_GB2312"/>
                <w:sz w:val="24"/>
              </w:rPr>
              <w:t>员</w:t>
            </w:r>
            <w:r>
              <w:rPr>
                <w:rFonts w:ascii="仿宋_GB2312" w:hAnsi="仿宋_GB2312" w:cs="仿宋_GB2312" w:eastAsia="仿宋_GB2312"/>
                <w:sz w:val="24"/>
              </w:rPr>
              <w:t>2人，总体拟配备人数≥20人。</w:t>
            </w:r>
          </w:p>
          <w:p>
            <w:pPr>
              <w:pStyle w:val="null3"/>
              <w:jc w:val="both"/>
            </w:pPr>
            <w:r>
              <w:rPr>
                <w:rFonts w:ascii="仿宋_GB2312" w:hAnsi="仿宋_GB2312" w:cs="仿宋_GB2312" w:eastAsia="仿宋_GB2312"/>
                <w:sz w:val="24"/>
                <w:b/>
              </w:rPr>
              <w:t>五、人员配备要求</w:t>
            </w:r>
          </w:p>
          <w:p>
            <w:pPr>
              <w:pStyle w:val="null3"/>
              <w:jc w:val="both"/>
            </w:pPr>
            <w:r>
              <w:rPr>
                <w:rFonts w:ascii="仿宋_GB2312" w:hAnsi="仿宋_GB2312" w:cs="仿宋_GB2312" w:eastAsia="仿宋_GB2312"/>
                <w:sz w:val="24"/>
                <w:b/>
              </w:rPr>
              <w:t>(一）管理人员</w:t>
            </w:r>
          </w:p>
          <w:p>
            <w:pPr>
              <w:pStyle w:val="null3"/>
              <w:jc w:val="both"/>
            </w:pPr>
            <w:r>
              <w:rPr>
                <w:rFonts w:ascii="仿宋_GB2312" w:hAnsi="仿宋_GB2312" w:cs="仿宋_GB2312" w:eastAsia="仿宋_GB2312"/>
                <w:sz w:val="24"/>
              </w:rPr>
              <w:t>1.年龄在25-45周岁,身体健康,思维灵敏,品格端正，有团队管理经验；</w:t>
            </w:r>
          </w:p>
          <w:p>
            <w:pPr>
              <w:pStyle w:val="null3"/>
              <w:jc w:val="both"/>
            </w:pPr>
            <w:r>
              <w:rPr>
                <w:rFonts w:ascii="仿宋_GB2312" w:hAnsi="仿宋_GB2312" w:cs="仿宋_GB2312" w:eastAsia="仿宋_GB2312"/>
                <w:sz w:val="24"/>
              </w:rPr>
              <w:t>2.大专或大专以上学历；</w:t>
            </w:r>
          </w:p>
          <w:p>
            <w:pPr>
              <w:pStyle w:val="null3"/>
              <w:jc w:val="both"/>
            </w:pPr>
            <w:r>
              <w:rPr>
                <w:rFonts w:ascii="仿宋_GB2312" w:hAnsi="仿宋_GB2312" w:cs="仿宋_GB2312" w:eastAsia="仿宋_GB2312"/>
                <w:sz w:val="24"/>
              </w:rPr>
              <w:t>3.普通话标准流利，具备良好的协调能力和指挥能力，具有高度的服务意识和责任心；</w:t>
            </w:r>
          </w:p>
          <w:p>
            <w:pPr>
              <w:pStyle w:val="null3"/>
              <w:jc w:val="both"/>
            </w:pPr>
            <w:r>
              <w:rPr>
                <w:rFonts w:ascii="仿宋_GB2312" w:hAnsi="仿宋_GB2312" w:cs="仿宋_GB2312" w:eastAsia="仿宋_GB2312"/>
                <w:sz w:val="24"/>
              </w:rPr>
              <w:t>4.具有办公软件、计算机文字处理技能；</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rPr>
              <w:t>.爱岗敬业，严于律己，遵守公司的各项管理规章制度，定期组织团队人员的培训工作；</w:t>
            </w:r>
          </w:p>
          <w:p>
            <w:pPr>
              <w:pStyle w:val="null3"/>
              <w:jc w:val="both"/>
            </w:pPr>
            <w:r>
              <w:rPr>
                <w:rFonts w:ascii="仿宋_GB2312" w:hAnsi="仿宋_GB2312" w:cs="仿宋_GB2312" w:eastAsia="仿宋_GB2312"/>
                <w:sz w:val="24"/>
              </w:rPr>
              <w:t>6.定时对各部门工作情况进行全面检查，发现问题及时安排相关人员进行整改，确保各部门工作规范有序；</w:t>
            </w:r>
          </w:p>
          <w:p>
            <w:pPr>
              <w:pStyle w:val="null3"/>
              <w:jc w:val="both"/>
            </w:pPr>
            <w:r>
              <w:rPr>
                <w:rFonts w:ascii="仿宋_GB2312" w:hAnsi="仿宋_GB2312" w:cs="仿宋_GB2312" w:eastAsia="仿宋_GB2312"/>
                <w:sz w:val="24"/>
              </w:rPr>
              <w:t>7.妥善安排好与采购人的对接工作，按时参加甲方的周例会等各项会议，并且及时传达会议内容，部署相关工作。</w:t>
            </w:r>
          </w:p>
          <w:p>
            <w:pPr>
              <w:pStyle w:val="null3"/>
              <w:jc w:val="both"/>
            </w:pPr>
            <w:r>
              <w:rPr>
                <w:rFonts w:ascii="仿宋_GB2312" w:hAnsi="仿宋_GB2312" w:cs="仿宋_GB2312" w:eastAsia="仿宋_GB2312"/>
                <w:sz w:val="24"/>
              </w:rPr>
              <w:t>8.对员工的入职手续、考勤、转正、劳动合同、培训记录等进行审核。</w:t>
            </w:r>
          </w:p>
          <w:p>
            <w:pPr>
              <w:pStyle w:val="null3"/>
              <w:jc w:val="both"/>
            </w:pPr>
            <w:r>
              <w:rPr>
                <w:rFonts w:ascii="仿宋_GB2312" w:hAnsi="仿宋_GB2312" w:cs="仿宋_GB2312" w:eastAsia="仿宋_GB2312"/>
                <w:sz w:val="24"/>
              </w:rPr>
              <w:t>9.做好项目内外部关系的沟通和协调，服务投诉、重大安全突发事件的处理。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）其他</w:t>
            </w:r>
            <w:r>
              <w:rPr>
                <w:rFonts w:ascii="仿宋_GB2312" w:hAnsi="仿宋_GB2312" w:cs="仿宋_GB2312" w:eastAsia="仿宋_GB2312"/>
                <w:sz w:val="24"/>
                <w:b/>
              </w:rPr>
              <w:t>工作</w:t>
            </w:r>
            <w:r>
              <w:rPr>
                <w:rFonts w:ascii="仿宋_GB2312" w:hAnsi="仿宋_GB2312" w:cs="仿宋_GB2312" w:eastAsia="仿宋_GB2312"/>
                <w:sz w:val="24"/>
                <w:b/>
              </w:rPr>
              <w:t>人员</w:t>
            </w:r>
          </w:p>
          <w:p>
            <w:pPr>
              <w:pStyle w:val="null3"/>
              <w:jc w:val="both"/>
            </w:pPr>
            <w:r>
              <w:rPr>
                <w:rFonts w:ascii="仿宋_GB2312" w:hAnsi="仿宋_GB2312" w:cs="仿宋_GB2312" w:eastAsia="仿宋_GB2312"/>
                <w:sz w:val="24"/>
              </w:rPr>
              <w:t>1.具有相关工作经验，较强的团队协作意识和集体荣誉感；</w:t>
            </w:r>
          </w:p>
          <w:p>
            <w:pPr>
              <w:pStyle w:val="null3"/>
              <w:jc w:val="both"/>
            </w:pPr>
            <w:r>
              <w:rPr>
                <w:rFonts w:ascii="仿宋_GB2312" w:hAnsi="仿宋_GB2312" w:cs="仿宋_GB2312" w:eastAsia="仿宋_GB2312"/>
                <w:sz w:val="24"/>
              </w:rPr>
              <w:t>2.严格遵照岗位职责，统一着装，服务热情主动；</w:t>
            </w:r>
          </w:p>
          <w:p>
            <w:pPr>
              <w:pStyle w:val="null3"/>
              <w:jc w:val="both"/>
            </w:pPr>
            <w:r>
              <w:rPr>
                <w:rFonts w:ascii="仿宋_GB2312" w:hAnsi="仿宋_GB2312" w:cs="仿宋_GB2312" w:eastAsia="仿宋_GB2312"/>
                <w:sz w:val="24"/>
              </w:rPr>
              <w:t>3.工作耐心细致，责任感强；</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rPr>
              <w:t>.严格执行层级管理，服从领导安排，积极完成分配的各项任务；</w:t>
            </w:r>
          </w:p>
          <w:p>
            <w:pPr>
              <w:pStyle w:val="null3"/>
              <w:jc w:val="both"/>
            </w:pPr>
            <w:r>
              <w:rPr>
                <w:rFonts w:ascii="仿宋_GB2312" w:hAnsi="仿宋_GB2312" w:cs="仿宋_GB2312" w:eastAsia="仿宋_GB2312"/>
                <w:sz w:val="24"/>
              </w:rPr>
              <w:t>5.维护公司的利益、爱护公司的公共财物；</w:t>
            </w:r>
          </w:p>
          <w:p>
            <w:pPr>
              <w:pStyle w:val="null3"/>
              <w:jc w:val="both"/>
            </w:pPr>
            <w:r>
              <w:rPr>
                <w:rFonts w:ascii="仿宋_GB2312" w:hAnsi="仿宋_GB2312" w:cs="仿宋_GB2312" w:eastAsia="仿宋_GB2312"/>
                <w:sz w:val="24"/>
              </w:rPr>
              <w:t>6.身体健康，无重大疾病或传染性疾病。</w:t>
            </w:r>
          </w:p>
          <w:p>
            <w:pPr>
              <w:pStyle w:val="null3"/>
            </w:pPr>
            <w:r>
              <w:rPr>
                <w:rFonts w:ascii="仿宋_GB2312" w:hAnsi="仿宋_GB2312" w:cs="仿宋_GB2312" w:eastAsia="仿宋_GB2312"/>
                <w:sz w:val="24"/>
                <w:b/>
              </w:rPr>
              <w:t>六、服务期限</w:t>
            </w:r>
            <w:r>
              <w:rPr>
                <w:rFonts w:ascii="仿宋_GB2312" w:hAnsi="仿宋_GB2312" w:cs="仿宋_GB2312" w:eastAsia="仿宋_GB2312"/>
                <w:sz w:val="24"/>
              </w:rPr>
              <w:t>：一年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从服务起始日起至第一季度结束且考核合格后 ，乙方提供正式的税务发票给甲方，甲方凭乙方开具的税务发票，每三个月结算一次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从服务起始日起至一季度结束且考核合格后 ，乙方提供正式的税务发票给甲方，甲方凭乙方开具的税务发票，每三个月结算一次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从服务起始日起至一季度结束且考核合格后 ，乙方提供正式的税务发票给甲方，甲方凭乙方开具的税务发票，每三个月结算一次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从服务起始日起至一季度结束且考核合格后 ，乙方提供正式的税务发票给甲方，甲方凭乙方开具的税务发票，每三个月结算一次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用电子化投标与纸质投标并行的方式，供应商需要于磋商响应文件递交截止时间前在线提交电子响应文件，同时线下提交一正一副纸质版响应文件（提交地点：西安市南二环西段21号华融国际商务大厦A座21楼-D室）。 2、逾期送达的纸质版响应文件按无效磋商处理。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商务应答表.docx 资格附件格式.docx 响应文件封面 其他附件要求.docx 残疾人福利性单位声明函 服务方案 标的清单 响应函 报价表.docx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资格附件格式.docx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具有独立法人资格</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3年内无重大违法记录</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 资格附件格式.docx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 资格附件格式.docx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响应函 资格附件格式.docx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资格附件格式.docx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商务应答表.docx 报价表 资格附件格式.docx 响应文件封面 其他附件要求.docx 残疾人福利性单位声明函 服务方案 标的清单 响应函 报价表.docx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针对服务内容及要求提出适用于本项目的总体方案，方案内容包含：①服务内容及标准②服务目标和进度控制③进退场交接方案④服务理念及特色。 二、评审标准 1、完整性：方案必须全面，对评审内容中的各项要求有详细描述； 2、可实施性：切合本项目实际情况，提出步骤清晰、合理的方案； 3、针对性：方案能够紧扣项目实际情况，内容科学合理。 三、赋分标准（满分24分） ①服务内容及标准：每完全满足一个评审标准得2分，满分6分； ②服务目标和进度控制：每完全满足一个评审标准得2分，满分6分；③进退场交接方案：每完全满足一个评审标准得2分，满分6分；④服务理念及特色：每完全满足一个评审标准得6分，满分6分。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针对本项目具有良好的管理制度，内容包括：①岗位管理制度：具有岗位职责、服务质量标准、岗位制度、作业流程②内控制度：具有管理组织机构、内部管理制度、监督机制、保密制度③人员管理考核制度：具有员工日常管理办法、请销假制度、奖惩措施、仪容仪表制度。 二、评审标准 1、完整性：方案须全面，对评审内容中的各项要求有详细描述及说明； 2、可实施性：切合本项目实际情况，步骤清晰、合理，操作性强； 3、针对性：方案能够紧扣项目实际情况，内容科学合理。 三、赋分标准（满分9分） ①岗位制度：每完全满足一项评审标准得1分，满分3分； ②内控制度:每完全满足一项评审标准得1分，满分3分； ③人员管理制度：每完全满足一项评审标准得1分，满分3分。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依据针对本项目可能出现的突发事件拟制现场应急设备保障，应急处理服务方案，根据应急设施配备建议和方案的完善性、合理性、可行性，进行综合赋分。 方案内容完善、保障措施科学合理、针对性可行性强，得5分； 方案内容较完善、保障措施有一定针对性，基本可行，得3分； 方案内容简单笼统，无针对性，得1分；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物业消防预案</w:t>
            </w:r>
          </w:p>
        </w:tc>
        <w:tc>
          <w:tcPr>
            <w:tcW w:type="dxa" w:w="2492"/>
          </w:tcPr>
          <w:p>
            <w:pPr>
              <w:pStyle w:val="null3"/>
            </w:pPr>
            <w:r>
              <w:rPr>
                <w:rFonts w:ascii="仿宋_GB2312" w:hAnsi="仿宋_GB2312" w:cs="仿宋_GB2312" w:eastAsia="仿宋_GB2312"/>
              </w:rPr>
              <w:t>针对本项目可能出现的突发情况制定日常火灾预防措施和应急响应流程方案。根据方案的全面性，合理性，及可实施性进行赋分。 方案内容完善、保障措施科学合理、针对性可行性强，得6分； 方案内容较完善、保障措施有一定针对性，基本可行，得4分； 方案内容简单笼统，无针对性，得2分；未提供不得分。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项目负责人具有本科及以上学历得5分，大专学历得2分，其他不得分。 备注：须提供学历证明及磋商响应文件截止日前一年内已缴纳的至少一个月的的社保缴纳证明。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其余拟派人员配备情况</w:t>
            </w:r>
          </w:p>
        </w:tc>
        <w:tc>
          <w:tcPr>
            <w:tcW w:type="dxa" w:w="2492"/>
          </w:tcPr>
          <w:p>
            <w:pPr>
              <w:pStyle w:val="null3"/>
            </w:pPr>
            <w:r>
              <w:rPr>
                <w:rFonts w:ascii="仿宋_GB2312" w:hAnsi="仿宋_GB2312" w:cs="仿宋_GB2312" w:eastAsia="仿宋_GB2312"/>
              </w:rPr>
              <w:t>配备项目组人员专业符合本项目具体岗位要求，人员安排合理，专业性强，得6分；拟配备项目组人员基本满足项目需求、人员专业性较强的得4分；拟配备项目组人员无法满足项目需求且安排不合理的得2分； 未提供不得分。 以拟派的人员学历证书、专业证明资料等复印件加盖公章证明材料为准。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人员培训计划与方案</w:t>
            </w:r>
          </w:p>
        </w:tc>
        <w:tc>
          <w:tcPr>
            <w:tcW w:type="dxa" w:w="2492"/>
          </w:tcPr>
          <w:p>
            <w:pPr>
              <w:pStyle w:val="null3"/>
            </w:pPr>
            <w:r>
              <w:rPr>
                <w:rFonts w:ascii="仿宋_GB2312" w:hAnsi="仿宋_GB2312" w:cs="仿宋_GB2312" w:eastAsia="仿宋_GB2312"/>
              </w:rPr>
              <w:t>人员培训计划与方案： 依据培训计划与方案的完善性、合理性、可行性，进行综合赋分。 计划方案内容完善、科学合理、针对性可强可实施，得6分； 计划方案内容较完善、有一定针对性，基本可行，得4分； 计划方案内容简单笼统，无针对性，得2分；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供应商在原采购需求基础上，提供有助于提升整体服务水平的合理化实施方案和增值特色服务方案。 方案内容针对性强、明确、全面得5分；方案内容针对性较强、基本满足采购需求得3分；方案内容表述前后不一致、套用其他项目方案或与项目需求不匹配及其他不利于项目实施得1分；未提供不得分。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针对本项目制订符合实际情况服务承诺，按其承诺的合理程度赋分。 服务承诺清晰明确、具有针对性得6分；服务承诺较清晰明确、针对性一般得4分；服务承诺内容不清晰得2分；未提供的得0分。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提供2022年1月至今完成过类似项目的业绩，每提供一个得2分，满分8分，不提供不得分。 （以中标通知书或合同协议书复印件加盖公章为准）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详见附件：其他附件要求.docx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详见附件：日常公用经费 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