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版本号：JXRC-26031920260401001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护士节纪念品采购项目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JXRC-260319</w:t>
      </w:r>
      <w:r>
        <w:br/>
      </w:r>
      <w:r>
        <w:br/>
      </w:r>
      <w:r>
        <w:br/>
      </w:r>
    </w:p>
    <w:p>
      <w:pPr>
        <w:pStyle w:val="null3"/>
        <w:jc w:val="center"/>
        <w:outlineLvl w:val="2"/>
      </w:pPr>
      <w:r>
        <w:rPr>
          <w:rFonts w:ascii="仿宋_GB2312" w:hAnsi="仿宋_GB2312" w:cs="仿宋_GB2312" w:eastAsia="仿宋_GB2312"/>
          <w:sz w:val="28"/>
          <w:b/>
        </w:rPr>
        <w:t>西安市中医医院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西安市中医医院</w:t>
      </w:r>
      <w:r>
        <w:rPr>
          <w:rFonts w:ascii="仿宋_GB2312" w:hAnsi="仿宋_GB2312" w:cs="仿宋_GB2312" w:eastAsia="仿宋_GB2312"/>
        </w:rPr>
        <w:t>委托，拟对</w:t>
      </w:r>
      <w:r>
        <w:rPr>
          <w:rFonts w:ascii="仿宋_GB2312" w:hAnsi="仿宋_GB2312" w:cs="仿宋_GB2312" w:eastAsia="仿宋_GB2312"/>
        </w:rPr>
        <w:t>护士节纪念品采购项目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JXRC-260319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护士节纪念品采购项目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“5.12”国际护士节期间为表达对全院护理人员的节日问候与祝福，激发工作积极性、增强归属感，将为全院护士发放护士节纪念品。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2、供应商应有良好的财务状况：法人提供会计师事务所出具的完整的2024年或2025年审计报告（成立时间至提交投标文件截止时间不足一年的可提供成立后任意时段的资产负债表)，或开标前3个月内其开户银行出具的资信证明，或信用担保机构出具的投标担保函（以上三种形式的资料提供任何一种即可)；其他组织和自然人提供银行出具的资信证明或财务报表。并进行电子签章。</w:t>
      </w:r>
    </w:p>
    <w:p>
      <w:pPr>
        <w:pStyle w:val="null3"/>
      </w:pPr>
      <w:r>
        <w:rPr>
          <w:rFonts w:ascii="仿宋_GB2312" w:hAnsi="仿宋_GB2312" w:cs="仿宋_GB2312" w:eastAsia="仿宋_GB2312"/>
        </w:rPr>
        <w:t>3、供应商应有依法缴纳税收的良好记录：法人提供自2025年9月1日以来至少一个月的纳税证明或完税证明（任意税种），纳税证明或完税证明上应有代收机构或税务机关的公章或业务专用章；其他组织和自然人提供自2025年9月1日以来至少一个月缴纳税收的凭据；依法免税的供应商应提供相关文件证明。并进行电子签章。</w:t>
      </w:r>
    </w:p>
    <w:p>
      <w:pPr>
        <w:pStyle w:val="null3"/>
      </w:pPr>
      <w:r>
        <w:rPr>
          <w:rFonts w:ascii="仿宋_GB2312" w:hAnsi="仿宋_GB2312" w:cs="仿宋_GB2312" w:eastAsia="仿宋_GB2312"/>
        </w:rPr>
        <w:t>4、供应商应有依法缴纳社会保障资金的良好记录：提供自2025年9月1日以来至少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p>
      <w:pPr>
        <w:pStyle w:val="null3"/>
      </w:pPr>
      <w:r>
        <w:rPr>
          <w:rFonts w:ascii="仿宋_GB2312" w:hAnsi="仿宋_GB2312" w:cs="仿宋_GB2312" w:eastAsia="仿宋_GB2312"/>
        </w:rPr>
        <w:t>6、参加本次政府采购活动前三年内，在经营活动中没有重大违法记录：供应商参加本次政府采购活动前三年内，在经营活动中没有重大违法记录，提供《无重大违法记录声明》。并进行电子签章。</w:t>
      </w:r>
    </w:p>
    <w:p>
      <w:pPr>
        <w:pStyle w:val="null3"/>
      </w:pPr>
      <w:r>
        <w:rPr>
          <w:rFonts w:ascii="仿宋_GB2312" w:hAnsi="仿宋_GB2312" w:cs="仿宋_GB2312" w:eastAsia="仿宋_GB2312"/>
        </w:rPr>
        <w:t>7、供应商应具有履行合同所必需的设备和专业技术能力：供应商须提供《具有履行合同所必需的设备和专业技术能力的承诺书》。并进行电子签章。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未央区凤城八路69号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029-89626819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曲慧、陆频、张海、田颖琦、陈利娜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西安市中医医院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西安市中医医院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陕西嘉信瑞诚招标有限公司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的技术规格和配置进行验收，提供有CMA标识的检验报告,检验报告检测项目应包括但不限于：纤维含量、纱支、密度、甲醛pH值、可分解致癌芳香染料、耐水洗色牢度、耐汗渍色牢度、断裂强力、水洗尺寸变化率等。</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“5.12”国际护士节期间为表达对全院护理人员的节日问候与祝福，激发工作积极性、增强归属感，将为全院护士发放护士节纪念品。</w:t>
      </w:r>
    </w:p>
    <w:tbl>
      <w:tblPr>
        <w:tblW w:w="0" w:type="auto"/>
        <w:tblInd w:type="dxa" w:w="135"/>
        <w:tblBorders>
          <w:top w:val="single"/>
          <w:left w:val="single"/>
          <w:bottom w:val="single"/>
          <w:right w:val="single"/>
          <w:insideH w:val="single"/>
          <w:insideV w:val="single"/>
        </w:tblBorders>
      </w:tblPr>
      <w:tblGrid>
        <w:gridCol w:w="1865"/>
        <w:gridCol w:w="1441"/>
        <w:gridCol w:w="1271"/>
        <w:gridCol w:w="1865"/>
        <w:gridCol w:w="1865"/>
      </w:tblGrid>
      <w:tr>
        <w:tc>
          <w:tcPr>
            <w:tcW w:type="dxa" w:w="18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名 称</w:t>
            </w:r>
          </w:p>
        </w:tc>
        <w:tc>
          <w:tcPr>
            <w:tcW w:type="dxa" w:w="14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人数（人）</w:t>
            </w:r>
          </w:p>
        </w:tc>
        <w:tc>
          <w:tcPr>
            <w:tcW w:type="dxa" w:w="12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单位</w:t>
            </w:r>
          </w:p>
        </w:tc>
        <w:tc>
          <w:tcPr>
            <w:tcW w:type="dxa" w:w="18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w:t>
            </w:r>
          </w:p>
        </w:tc>
        <w:tc>
          <w:tcPr>
            <w:tcW w:type="dxa" w:w="18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单套限价（元）</w:t>
            </w:r>
          </w:p>
        </w:tc>
      </w:tr>
      <w:tr>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床上用品四件套</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1060</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1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1060</w:t>
            </w:r>
          </w:p>
        </w:tc>
        <w:tc>
          <w:tcPr>
            <w:tcW w:type="dxa" w:w="1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400</w:t>
            </w: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424,000.00</w:t>
      </w:r>
    </w:p>
    <w:p>
      <w:pPr>
        <w:pStyle w:val="null3"/>
      </w:pPr>
      <w:r>
        <w:rPr>
          <w:rFonts w:ascii="仿宋_GB2312" w:hAnsi="仿宋_GB2312" w:cs="仿宋_GB2312" w:eastAsia="仿宋_GB2312"/>
        </w:rPr>
        <w:t>采购包最高限价（元）: 424,000.00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床上四件套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424,000.00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标的名称：床上四件套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1.</w:t>
            </w:r>
            <w:r>
              <w:rPr>
                <w:rFonts w:ascii="仿宋_GB2312" w:hAnsi="仿宋_GB2312" w:cs="仿宋_GB2312" w:eastAsia="仿宋_GB2312"/>
                <w:sz w:val="24"/>
              </w:rPr>
              <w:t>尺寸要求：</w:t>
            </w:r>
          </w:p>
          <w:p>
            <w:pPr>
              <w:pStyle w:val="null3"/>
            </w:pPr>
            <w:r>
              <w:rPr>
                <w:rFonts w:ascii="仿宋_GB2312" w:hAnsi="仿宋_GB2312" w:cs="仿宋_GB2312" w:eastAsia="仿宋_GB2312"/>
                <w:sz w:val="24"/>
              </w:rPr>
              <w:t>1.1</w:t>
            </w:r>
            <w:r>
              <w:rPr>
                <w:rFonts w:ascii="仿宋_GB2312" w:hAnsi="仿宋_GB2312" w:cs="仿宋_GB2312" w:eastAsia="仿宋_GB2312"/>
                <w:sz w:val="24"/>
              </w:rPr>
              <w:t>适用于1.8米床款</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1.2</w:t>
            </w:r>
            <w:r>
              <w:rPr>
                <w:rFonts w:ascii="仿宋_GB2312" w:hAnsi="仿宋_GB2312" w:cs="仿宋_GB2312" w:eastAsia="仿宋_GB2312"/>
                <w:sz w:val="24"/>
              </w:rPr>
              <w:t>被套：（200×230）cm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1.3</w:t>
            </w:r>
            <w:r>
              <w:rPr>
                <w:rFonts w:ascii="仿宋_GB2312" w:hAnsi="仿宋_GB2312" w:cs="仿宋_GB2312" w:eastAsia="仿宋_GB2312"/>
                <w:sz w:val="24"/>
              </w:rPr>
              <w:t>床单：（245×250）cm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1.4</w:t>
            </w:r>
            <w:r>
              <w:rPr>
                <w:rFonts w:ascii="仿宋_GB2312" w:hAnsi="仿宋_GB2312" w:cs="仿宋_GB2312" w:eastAsia="仿宋_GB2312"/>
                <w:sz w:val="24"/>
              </w:rPr>
              <w:t>枕套：（48×74）cm×2个</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技术要求：</w:t>
            </w:r>
          </w:p>
          <w:p>
            <w:pPr>
              <w:pStyle w:val="null3"/>
            </w:pPr>
            <w:r>
              <w:rPr>
                <w:rFonts w:ascii="仿宋_GB2312" w:hAnsi="仿宋_GB2312" w:cs="仿宋_GB2312" w:eastAsia="仿宋_GB2312"/>
                <w:sz w:val="24"/>
              </w:rPr>
              <w:t>2.1</w:t>
            </w:r>
            <w:r>
              <w:rPr>
                <w:rFonts w:ascii="仿宋_GB2312" w:hAnsi="仿宋_GB2312" w:cs="仿宋_GB2312" w:eastAsia="仿宋_GB2312"/>
                <w:sz w:val="24"/>
              </w:rPr>
              <w:t>纤维含量：</w:t>
            </w:r>
            <w:r>
              <w:rPr>
                <w:rFonts w:ascii="仿宋_GB2312" w:hAnsi="仿宋_GB2312" w:cs="仿宋_GB2312" w:eastAsia="仿宋_GB2312"/>
                <w:sz w:val="24"/>
              </w:rPr>
              <w:t>100%</w:t>
            </w:r>
            <w:r>
              <w:rPr>
                <w:rFonts w:ascii="仿宋_GB2312" w:hAnsi="仿宋_GB2312" w:cs="仿宋_GB2312" w:eastAsia="仿宋_GB2312"/>
                <w:sz w:val="24"/>
              </w:rPr>
              <w:t>棉（长绒棉）；</w:t>
            </w:r>
          </w:p>
          <w:p>
            <w:pPr>
              <w:pStyle w:val="null3"/>
            </w:pPr>
            <w:r>
              <w:rPr>
                <w:rFonts w:ascii="仿宋_GB2312" w:hAnsi="仿宋_GB2312" w:cs="仿宋_GB2312" w:eastAsia="仿宋_GB2312"/>
                <w:sz w:val="24"/>
              </w:rPr>
              <w:t>2.2</w:t>
            </w:r>
            <w:r>
              <w:rPr>
                <w:rFonts w:ascii="仿宋_GB2312" w:hAnsi="仿宋_GB2312" w:cs="仿宋_GB2312" w:eastAsia="仿宋_GB2312"/>
                <w:sz w:val="24"/>
              </w:rPr>
              <w:t>纱支：经纬纱均为</w:t>
            </w:r>
            <w:r>
              <w:rPr>
                <w:rFonts w:ascii="仿宋_GB2312" w:hAnsi="仿宋_GB2312" w:cs="仿宋_GB2312" w:eastAsia="仿宋_GB2312"/>
                <w:sz w:val="24"/>
              </w:rPr>
              <w:t>100</w:t>
            </w:r>
            <w:r>
              <w:rPr>
                <w:rFonts w:ascii="仿宋_GB2312" w:hAnsi="仿宋_GB2312" w:cs="仿宋_GB2312" w:eastAsia="仿宋_GB2312"/>
                <w:sz w:val="24"/>
              </w:rPr>
              <w:t>ˢ</w:t>
            </w:r>
            <w:r>
              <w:rPr>
                <w:rFonts w:ascii="仿宋_GB2312" w:hAnsi="仿宋_GB2312" w:cs="仿宋_GB2312" w:eastAsia="仿宋_GB2312"/>
                <w:sz w:val="24"/>
              </w:rPr>
              <w:t>/2</w:t>
            </w:r>
            <w:r>
              <w:rPr>
                <w:rFonts w:ascii="仿宋_GB2312" w:hAnsi="仿宋_GB2312" w:cs="仿宋_GB2312" w:eastAsia="仿宋_GB2312"/>
                <w:sz w:val="24"/>
              </w:rPr>
              <w:t>以上；</w:t>
            </w:r>
          </w:p>
          <w:p>
            <w:pPr>
              <w:pStyle w:val="null3"/>
            </w:pPr>
            <w:r>
              <w:rPr>
                <w:rFonts w:ascii="仿宋_GB2312" w:hAnsi="仿宋_GB2312" w:cs="仿宋_GB2312" w:eastAsia="仿宋_GB2312"/>
                <w:sz w:val="24"/>
              </w:rPr>
              <w:t>2.3</w:t>
            </w:r>
            <w:r>
              <w:rPr>
                <w:rFonts w:ascii="仿宋_GB2312" w:hAnsi="仿宋_GB2312" w:cs="仿宋_GB2312" w:eastAsia="仿宋_GB2312"/>
                <w:sz w:val="24"/>
              </w:rPr>
              <w:t>密度：经纱≥96根/吋，纬纱≥94根/吋；</w:t>
            </w:r>
          </w:p>
          <w:p>
            <w:pPr>
              <w:pStyle w:val="null3"/>
            </w:pPr>
            <w:r>
              <w:rPr>
                <w:rFonts w:ascii="仿宋_GB2312" w:hAnsi="仿宋_GB2312" w:cs="仿宋_GB2312" w:eastAsia="仿宋_GB2312"/>
                <w:sz w:val="24"/>
              </w:rPr>
              <w:t>2.4</w:t>
            </w:r>
            <w:r>
              <w:rPr>
                <w:rFonts w:ascii="仿宋_GB2312" w:hAnsi="仿宋_GB2312" w:cs="仿宋_GB2312" w:eastAsia="仿宋_GB2312"/>
                <w:sz w:val="24"/>
              </w:rPr>
              <w:t>安全技术类别：</w:t>
            </w:r>
            <w:r>
              <w:rPr>
                <w:rFonts w:ascii="仿宋_GB2312" w:hAnsi="仿宋_GB2312" w:cs="仿宋_GB2312" w:eastAsia="仿宋_GB2312"/>
                <w:sz w:val="24"/>
              </w:rPr>
              <w:t>B</w:t>
            </w:r>
            <w:r>
              <w:rPr>
                <w:rFonts w:ascii="仿宋_GB2312" w:hAnsi="仿宋_GB2312" w:cs="仿宋_GB2312" w:eastAsia="仿宋_GB2312"/>
                <w:sz w:val="24"/>
              </w:rPr>
              <w:t>类及以上；</w:t>
            </w:r>
          </w:p>
          <w:p>
            <w:pPr>
              <w:pStyle w:val="null3"/>
            </w:pPr>
            <w:r>
              <w:rPr>
                <w:rFonts w:ascii="仿宋_GB2312" w:hAnsi="仿宋_GB2312" w:cs="仿宋_GB2312" w:eastAsia="仿宋_GB2312"/>
                <w:sz w:val="24"/>
              </w:rPr>
              <w:t>2.5</w:t>
            </w:r>
            <w:r>
              <w:rPr>
                <w:rFonts w:ascii="仿宋_GB2312" w:hAnsi="仿宋_GB2312" w:cs="仿宋_GB2312" w:eastAsia="仿宋_GB2312"/>
                <w:sz w:val="24"/>
              </w:rPr>
              <w:t>织物组织</w:t>
            </w:r>
            <w:r>
              <w:rPr>
                <w:rFonts w:ascii="仿宋_GB2312" w:hAnsi="仿宋_GB2312" w:cs="仿宋_GB2312" w:eastAsia="仿宋_GB2312"/>
                <w:sz w:val="24"/>
              </w:rPr>
              <w:t>：贡缎提花或印花。</w:t>
            </w:r>
          </w:p>
          <w:p>
            <w:pPr>
              <w:pStyle w:val="null3"/>
            </w:pPr>
            <w:r>
              <w:rPr>
                <w:rFonts w:ascii="仿宋_GB2312" w:hAnsi="仿宋_GB2312" w:cs="仿宋_GB2312" w:eastAsia="仿宋_GB2312"/>
                <w:sz w:val="24"/>
              </w:rPr>
              <w:t>产品质量符合GB/T 22796-2021《床上用品》一等品要求。</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做工要求：</w:t>
            </w:r>
          </w:p>
          <w:p>
            <w:pPr>
              <w:pStyle w:val="null3"/>
            </w:pPr>
            <w:r>
              <w:rPr>
                <w:rFonts w:ascii="仿宋_GB2312" w:hAnsi="仿宋_GB2312" w:cs="仿宋_GB2312" w:eastAsia="仿宋_GB2312"/>
                <w:sz w:val="24"/>
              </w:rPr>
              <w:t>3.1</w:t>
            </w:r>
            <w:r>
              <w:rPr>
                <w:rFonts w:ascii="仿宋_GB2312" w:hAnsi="仿宋_GB2312" w:cs="仿宋_GB2312" w:eastAsia="仿宋_GB2312"/>
                <w:sz w:val="24"/>
              </w:rPr>
              <w:t>被套：被套双针明线滚边或嵌绳滚边，内部八点环扣，固定被芯不移位；</w:t>
            </w:r>
            <w:r>
              <w:rPr>
                <w:rFonts w:ascii="仿宋_GB2312" w:hAnsi="仿宋_GB2312" w:cs="仿宋_GB2312" w:eastAsia="仿宋_GB2312"/>
                <w:sz w:val="24"/>
              </w:rPr>
              <w:t>U</w:t>
            </w:r>
            <w:r>
              <w:rPr>
                <w:rFonts w:ascii="仿宋_GB2312" w:hAnsi="仿宋_GB2312" w:cs="仿宋_GB2312" w:eastAsia="仿宋_GB2312"/>
                <w:sz w:val="24"/>
              </w:rPr>
              <w:t>型拉链或隐藏式拉链设计。</w:t>
            </w:r>
          </w:p>
          <w:p>
            <w:pPr>
              <w:pStyle w:val="null3"/>
            </w:pPr>
            <w:r>
              <w:rPr>
                <w:rFonts w:ascii="仿宋_GB2312" w:hAnsi="仿宋_GB2312" w:cs="仿宋_GB2312" w:eastAsia="仿宋_GB2312"/>
                <w:sz w:val="24"/>
              </w:rPr>
              <w:t>3.2</w:t>
            </w:r>
            <w:r>
              <w:rPr>
                <w:rFonts w:ascii="仿宋_GB2312" w:hAnsi="仿宋_GB2312" w:cs="仿宋_GB2312" w:eastAsia="仿宋_GB2312"/>
                <w:sz w:val="24"/>
              </w:rPr>
              <w:t>枕套：采用信封式开口，重叠至少</w:t>
            </w:r>
            <w:r>
              <w:rPr>
                <w:rFonts w:ascii="仿宋_GB2312" w:hAnsi="仿宋_GB2312" w:cs="仿宋_GB2312" w:eastAsia="仿宋_GB2312"/>
                <w:sz w:val="24"/>
              </w:rPr>
              <w:t>15cm</w:t>
            </w:r>
            <w:r>
              <w:rPr>
                <w:rFonts w:ascii="仿宋_GB2312" w:hAnsi="仿宋_GB2312" w:cs="仿宋_GB2312" w:eastAsia="仿宋_GB2312"/>
                <w:sz w:val="24"/>
              </w:rPr>
              <w:t>，稳固包裹枕芯，无拉链无暗扣。双针明线滚边或嵌绳滚边，加宽包边，宽至少</w:t>
            </w:r>
            <w:r>
              <w:rPr>
                <w:rFonts w:ascii="仿宋_GB2312" w:hAnsi="仿宋_GB2312" w:cs="仿宋_GB2312" w:eastAsia="仿宋_GB2312"/>
                <w:sz w:val="24"/>
              </w:rPr>
              <w:t>5cm</w:t>
            </w:r>
            <w:r>
              <w:rPr>
                <w:rFonts w:ascii="仿宋_GB2312" w:hAnsi="仿宋_GB2312" w:cs="仿宋_GB2312" w:eastAsia="仿宋_GB2312"/>
                <w:sz w:val="24"/>
              </w:rPr>
              <w:t>。</w:t>
            </w:r>
          </w:p>
          <w:p>
            <w:pPr>
              <w:pStyle w:val="null3"/>
            </w:pPr>
            <w:r>
              <w:rPr>
                <w:rFonts w:ascii="仿宋_GB2312" w:hAnsi="仿宋_GB2312" w:cs="仿宋_GB2312" w:eastAsia="仿宋_GB2312"/>
                <w:sz w:val="24"/>
              </w:rPr>
              <w:t>3.3</w:t>
            </w:r>
            <w:r>
              <w:rPr>
                <w:rFonts w:ascii="仿宋_GB2312" w:hAnsi="仿宋_GB2312" w:cs="仿宋_GB2312" w:eastAsia="仿宋_GB2312"/>
                <w:sz w:val="24"/>
              </w:rPr>
              <w:t>床单：加宽贴边，宽至少5cm。</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4.</w:t>
            </w:r>
            <w:r>
              <w:rPr>
                <w:rFonts w:ascii="仿宋_GB2312" w:hAnsi="仿宋_GB2312" w:cs="仿宋_GB2312" w:eastAsia="仿宋_GB2312"/>
                <w:sz w:val="24"/>
              </w:rPr>
              <w:t>包装要求：</w:t>
            </w:r>
          </w:p>
          <w:p>
            <w:pPr>
              <w:pStyle w:val="null3"/>
            </w:pPr>
            <w:r>
              <w:rPr>
                <w:rFonts w:ascii="仿宋_GB2312" w:hAnsi="仿宋_GB2312" w:cs="仿宋_GB2312" w:eastAsia="仿宋_GB2312"/>
                <w:sz w:val="24"/>
              </w:rPr>
              <w:t>礼盒+手提袋包装</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颜色要求：</w:t>
            </w:r>
          </w:p>
          <w:p>
            <w:pPr>
              <w:pStyle w:val="null3"/>
            </w:pPr>
            <w:r>
              <w:rPr>
                <w:rFonts w:ascii="仿宋_GB2312" w:hAnsi="仿宋_GB2312" w:cs="仿宋_GB2312" w:eastAsia="仿宋_GB2312"/>
                <w:sz w:val="24"/>
              </w:rPr>
              <w:t>纯色或花色，提供所投产品的彩色图片。</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rPr>
              <w:t>备注：所有技术指标必须满足要求，不得出现负偏离，否则按无效文件处理。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接采购人通知后10日内交货，并交付采购人验收合格。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西安市中医医院指定地点。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全部床上用品四件套到达采购人指定地点并验收合格后，采购人付款前，供应商应提供发票，否则采购人有权暂不付款且不承担任何责任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从验收合格之日起满3个月后，如无质量等问题，采购人付款前，供应商应提供发票，否则采购人有权暂不付款且不承担任何责任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的技术规格和配置进行验收，提供有CMA标识的检验报告,检验报告检测项目应包括但不限于：纤维含量、纱支、密度、甲醛pH值、可分解致癌芳香染料、耐水洗色牢度、耐汗渍色牢度、断裂强力、水洗尺寸变化率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质保期：不少于1年。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如供应商未按合同约定时间交货或产品不符合要求，需承担相应的违约责任。</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1、合同签订及供货前，供应商应提供不少于3种花色/花型的床上用品四件套供采购人选择，采购人在确定最终花色前，供应商应无条件配合更换提供新的样品，直至满足采购人要求。 2、供应商现场需提供全套（四件套）样品，可提供贡缎提花或印花等多种样品，样品数量不限。（1）开标当日密封提交，截止时间同投标文件递交截止时间。未密封提交样品不予接受，密封样品标注单位名称。（2）样品退还办法：无效投标人样品开标当天退还，未中标人样品在中标公告发出后五个工作日内自行领取，如未在规定时间内领取样品，则样品由采购代理机构代为处理，后期不得有任何异议，中标人样品在全部产品验收合格后由采购人退还。 未提供样品投标被否决。 3、供应商未被列入相关部门“黑名单”以及有行贿、串标等违法违规行为；进入相关部门“黑名单”的供应商以及有行贿、串标等违法违规行为并经查实的供应商不能参与招标人采购项目的投标活动。对“黑名单”中供应商采取“一票否决”及“随时叫停”机制，在报名、资格审核、评审、公示、合同签订等各环节一旦发现并查实有行贿等违法违规行为的，立即取消其相关资格且终止合同签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会计师事务所出具的完整的2024年或2025年审计报告（成立时间至提交投标文件截止时间不足一年的可提供成立后任意时段的资产负债表)，或开标前3个月内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自2025年9月1日以来至少一个月的纳税证明或完税证明（任意税种），纳税证明或完税证明上应有代收机构或税务机关的公章或业务专用章；其他组织和自然人提供自2025年9月1日以来至少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自2025年9月1日以来至少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供应商参加本次政府采购活动前三年内，在经营活动中没有重大违法记录，提供《无重大违法记录声明》。并进行电子签章。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供应商须提供《具有履行合同所必需的设备和专业技术能力的承诺书》。并进行电子签章。</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④评审小组基于专业判断，认为供应商报价过低，有可能影响产品质量或者不能诚信履约的其他情形。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小组应当将其作为无效投标（响应）处理。 2. 投标人提交的相关说明和证明材料，应当加盖投标人（法定名称）电子印章，在评审小组要求的时间内通过项目电子化交易系统进行提交，否则提交的相关证明材料无效。投标人不能证明其投标报价合理性的，评审小组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签章符合谈判文件要求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商务响应偏离表 谈判方案 技术响应偏离表 中小企业声明函 报价表 响应文件封面 其他材料 残疾人福利性单位声明函 供应商基本信息 标的清单 供应商企业关联关系说明书 供应商承诺书 响应函 供应商资格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实质性要求响应</w:t>
            </w:r>
          </w:p>
        </w:tc>
        <w:tc>
          <w:tcPr>
            <w:tcW w:type="dxa" w:w="3322"/>
          </w:tcPr>
          <w:p>
            <w:pPr>
              <w:pStyle w:val="null3"/>
            </w:pPr>
            <w:r>
              <w:rPr>
                <w:rFonts w:ascii="仿宋_GB2312" w:hAnsi="仿宋_GB2312" w:cs="仿宋_GB2312" w:eastAsia="仿宋_GB2312"/>
              </w:rPr>
              <w:t>供应商必须满足谈判文件的所有实质性条款</w:t>
            </w:r>
          </w:p>
        </w:tc>
        <w:tc>
          <w:tcPr>
            <w:tcW w:type="dxa" w:w="1661"/>
          </w:tcPr>
          <w:p>
            <w:pPr>
              <w:pStyle w:val="null3"/>
            </w:pPr>
            <w:r>
              <w:rPr>
                <w:rFonts w:ascii="仿宋_GB2312" w:hAnsi="仿宋_GB2312" w:cs="仿宋_GB2312" w:eastAsia="仿宋_GB2312"/>
              </w:rPr>
              <w:t>商务响应偏离表 谈判方案 技术响应偏离表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供应商必须满足谈判文件的所有商务要求</w:t>
            </w:r>
          </w:p>
        </w:tc>
        <w:tc>
          <w:tcPr>
            <w:tcW w:type="dxa" w:w="1661"/>
          </w:tcPr>
          <w:p>
            <w:pPr>
              <w:pStyle w:val="null3"/>
            </w:pPr>
            <w:r>
              <w:rPr>
                <w:rFonts w:ascii="仿宋_GB2312" w:hAnsi="仿宋_GB2312" w:cs="仿宋_GB2312" w:eastAsia="仿宋_GB2312"/>
              </w:rPr>
              <w:t>商务响应偏离表 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供应商须提供承诺书（格式见投标文件格式附件）</w:t>
            </w:r>
          </w:p>
        </w:tc>
        <w:tc>
          <w:tcPr>
            <w:tcW w:type="dxa" w:w="1661"/>
          </w:tcPr>
          <w:p>
            <w:pPr>
              <w:pStyle w:val="null3"/>
            </w:pPr>
            <w:r>
              <w:rPr>
                <w:rFonts w:ascii="仿宋_GB2312" w:hAnsi="仿宋_GB2312" w:cs="仿宋_GB2312" w:eastAsia="仿宋_GB2312"/>
              </w:rPr>
              <w:t>供应商承诺书</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报价表 响应函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最终评审报价相同的，谈判小组优先推荐节能清单(非强制类)、环保清单内的产品，再按照综合技术指标优劣顺序推荐。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详见附件：谈判方案</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详见附件：供应商企业关联关系说明书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