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版本号：TZZB-Z-2026045C.1B120260330001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车辆租赁项目(二次)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TZZB-Z-2026045C.1B1</w:t>
      </w:r>
      <w:r>
        <w:br/>
      </w:r>
      <w:r>
        <w:br/>
      </w:r>
      <w:r>
        <w:br/>
      </w:r>
    </w:p>
    <w:p>
      <w:pPr>
        <w:pStyle w:val="null3"/>
        <w:jc w:val="center"/>
        <w:outlineLvl w:val="2"/>
      </w:pPr>
      <w:r>
        <w:rPr>
          <w:rFonts w:ascii="仿宋_GB2312" w:hAnsi="仿宋_GB2312" w:cs="仿宋_GB2312" w:eastAsia="仿宋_GB2312"/>
          <w:sz w:val="28"/>
          <w:b/>
        </w:rPr>
        <w:t>陕西西咸新区人民法院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陕西西咸新区人民法院</w:t>
      </w:r>
      <w:r>
        <w:rPr>
          <w:rFonts w:ascii="仿宋_GB2312" w:hAnsi="仿宋_GB2312" w:cs="仿宋_GB2312" w:eastAsia="仿宋_GB2312"/>
        </w:rPr>
        <w:t>委托，拟对</w:t>
      </w:r>
      <w:r>
        <w:rPr>
          <w:rFonts w:ascii="仿宋_GB2312" w:hAnsi="仿宋_GB2312" w:cs="仿宋_GB2312" w:eastAsia="仿宋_GB2312"/>
        </w:rPr>
        <w:t>车辆租赁项目(二次)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TZZB-Z-2026045C.1B1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车辆租赁项目(二次)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根据我院业务要求，拟租赁公务车辆，包含轿车（5 座）10辆，商务车（7 座）2辆，驾驶员15名，优先考虑新能源汽车。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采购包1（陕西西咸新区人民法院车辆租赁项目）：属于专门面向中小企业采购。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pPr>
        <w:pStyle w:val="null3"/>
      </w:pPr>
      <w:r>
        <w:rPr>
          <w:rFonts w:ascii="仿宋_GB2312" w:hAnsi="仿宋_GB2312" w:cs="仿宋_GB2312" w:eastAsia="仿宋_GB2312"/>
        </w:rPr>
        <w:t>3、供应商须为具有独立承担民事责任能力的法人、其他组织或自然人：出具合法有效的营业执照或事业单位法人证书等国家规定的相关证明，自然人参与的提供其身份证明。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4、财务状况报告：供应商需提供以下三种资料中的任意一种：①2024或2025年度经审计的完整财务报告，供应商提供的财务审计报告应当赋码，可通过注册会计师行业统一监管平台(http://acc.mof.gov.cn)进行查验；②响应文件递交截止时间前三个月内其基本开户银行出具的资信证明；③财政部门认可的政府采购专业担保机构出具的投标担保函。 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p>
    <w:p>
      <w:pPr>
        <w:pStyle w:val="null3"/>
      </w:pPr>
      <w:r>
        <w:rPr>
          <w:rFonts w:ascii="仿宋_GB2312" w:hAnsi="仿宋_GB2312" w:cs="仿宋_GB2312" w:eastAsia="仿宋_GB2312"/>
        </w:rPr>
        <w:t>5、社保缴纳证明：提供自2025年3月1日以来已缴存的任意1个月的社会保障资金缴存单据或社保机构开具的社会保险参保缴费情况证明；依法不需要缴纳社会保障资金的供应商应提供相关证明文件。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税收缴纳证明：提供自2025年3月1日以来已缴纳的任意1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7、提供具有履行合同所必需的设备和专业技术能力的书面承诺：提供具有履行合同所必需的设备和专业技术能力的书面承诺：提供承诺函，加盖供应商公章。</w:t>
      </w:r>
    </w:p>
    <w:p>
      <w:pPr>
        <w:pStyle w:val="null3"/>
      </w:pPr>
      <w:r>
        <w:rPr>
          <w:rFonts w:ascii="仿宋_GB2312" w:hAnsi="仿宋_GB2312" w:cs="仿宋_GB2312" w:eastAsia="仿宋_GB2312"/>
        </w:rPr>
        <w:t>8、提供参加政府采购活动前三年内在经营活动中没有重大违法记录的书面声明：提供参加政府采购活动前三年内在经营活动中没有重大违法记录的书面声明：提供书面声明，加盖供应商公章。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陕西西咸新区人民法院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陕西省西咸新区空港新城俊采大街17号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029-32207033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 代理服务费缴纳账号：同正项目管理有限公司 开户银行：中国建设银行股份有限公司西安长庆支行 账号：61050190550000001106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陕西西咸新区人民法院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陕西西咸新区人民法院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陕西西咸新区人民法院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达到国家现行有关验收规范“合格”标准。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地址：西安市雁塔区科技二路71号竹园·天寰国际1107室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根据我院业务要求，拟租赁公务车辆，包含轿车（5 座）10辆，商务车（7 座）2辆，驾驶员15名，优先考虑新能源汽车。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1,410,000.00</w:t>
      </w:r>
    </w:p>
    <w:p>
      <w:pPr>
        <w:pStyle w:val="null3"/>
      </w:pPr>
      <w:r>
        <w:rPr>
          <w:rFonts w:ascii="仿宋_GB2312" w:hAnsi="仿宋_GB2312" w:cs="仿宋_GB2312" w:eastAsia="仿宋_GB2312"/>
        </w:rPr>
        <w:t>采购包最高限价（元）: 1,410,000.00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车辆租赁服务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标的名称：车辆租赁服务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一、采购内容</w:t>
            </w:r>
          </w:p>
          <w:p>
            <w:pPr>
              <w:pStyle w:val="null3"/>
            </w:pPr>
            <w:r>
              <w:rPr>
                <w:rFonts w:ascii="仿宋_GB2312" w:hAnsi="仿宋_GB2312" w:cs="仿宋_GB2312" w:eastAsia="仿宋_GB2312"/>
                <w:sz w:val="20"/>
              </w:rPr>
              <w:t>根据我院业务要求，拟租赁公务车辆，包含轿车（</w:t>
            </w:r>
            <w:r>
              <w:rPr>
                <w:rFonts w:ascii="仿宋_GB2312" w:hAnsi="仿宋_GB2312" w:cs="仿宋_GB2312" w:eastAsia="仿宋_GB2312"/>
                <w:sz w:val="20"/>
              </w:rPr>
              <w:t>5 座）10辆，商务车（7 座）2辆，驾驶员15名</w:t>
            </w:r>
            <w:r>
              <w:rPr>
                <w:rFonts w:ascii="仿宋_GB2312" w:hAnsi="仿宋_GB2312" w:cs="仿宋_GB2312" w:eastAsia="仿宋_GB2312"/>
                <w:sz w:val="20"/>
              </w:rPr>
              <w:t>，</w:t>
            </w:r>
            <w:r>
              <w:rPr>
                <w:rFonts w:ascii="仿宋_GB2312" w:hAnsi="仿宋_GB2312" w:cs="仿宋_GB2312" w:eastAsia="仿宋_GB2312"/>
                <w:sz w:val="21"/>
              </w:rPr>
              <w:t>优先考虑新能源汽车</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二、公务用车租赁要求</w:t>
            </w:r>
          </w:p>
          <w:p>
            <w:pPr>
              <w:pStyle w:val="null3"/>
              <w:jc w:val="both"/>
            </w:pPr>
            <w:r>
              <w:rPr>
                <w:rFonts w:ascii="仿宋_GB2312" w:hAnsi="仿宋_GB2312" w:cs="仿宋_GB2312" w:eastAsia="仿宋_GB2312"/>
                <w:sz w:val="20"/>
              </w:rPr>
              <w:t>1.供应商权利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1）拥有车辆所有权或合法使用权。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2）按期、足额收取双方认定的租赁费。</w:t>
            </w:r>
          </w:p>
          <w:p>
            <w:pPr>
              <w:pStyle w:val="null3"/>
              <w:jc w:val="both"/>
            </w:pPr>
            <w:r>
              <w:rPr>
                <w:rFonts w:ascii="仿宋_GB2312" w:hAnsi="仿宋_GB2312" w:cs="仿宋_GB2312" w:eastAsia="仿宋_GB2312"/>
                <w:sz w:val="20"/>
              </w:rPr>
              <w:t>2、供应商义务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1）负担出租车辆的油料、驾驶员工资、车辆保险、维修保养、停车费用</w:t>
            </w:r>
            <w:r>
              <w:rPr>
                <w:rFonts w:ascii="仿宋_GB2312" w:hAnsi="仿宋_GB2312" w:cs="仿宋_GB2312" w:eastAsia="仿宋_GB2312"/>
                <w:sz w:val="20"/>
              </w:rPr>
              <w:t>、过路费</w:t>
            </w:r>
            <w:r>
              <w:rPr>
                <w:rFonts w:ascii="仿宋_GB2312" w:hAnsi="仿宋_GB2312" w:cs="仿宋_GB2312" w:eastAsia="仿宋_GB2312"/>
                <w:sz w:val="20"/>
              </w:rPr>
              <w:t>等，为采购人新承租车辆购买全额保险，其中三责险不低于</w:t>
            </w:r>
            <w:r>
              <w:rPr>
                <w:rFonts w:ascii="仿宋_GB2312" w:hAnsi="仿宋_GB2312" w:cs="仿宋_GB2312" w:eastAsia="仿宋_GB2312"/>
                <w:sz w:val="20"/>
              </w:rPr>
              <w:t>100 万。</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2）向采购人提供车辆状况良好、设备齐全的租赁车辆，并提供车辆行驶所需有效证件。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3）负有对事故车辆及丢失车辆直接向保险公司理赔的责任。</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4）提供辖区内车辆故障、事故的 24 小时救援服务。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5）保证车辆随车物件配备齐全，车内应该备有随车工具、备胎、灭火器，及采购人所需其他相关物资。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6）对所获得的承租方信息负有保密义务。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车辆需定期对车辆进行日常检查，特别对机油、刹车油、冷却液、电解液、轮胎气压的检查，对制动、转向、灯光、刮水器、喇叭性能的检查，在使用过程中，如发现异常，应立即通知采购人，并按照工作流程到指定维修场所进行维修及保养；</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8）负责按采购人要求加强用车日常管理，确保采购人正常有序使用车辆。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9）加强对驾驶员日常教育管理。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10）配合采购人落实与租赁车辆有关的其他工作。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11）所派驾驶员</w:t>
            </w:r>
            <w:r>
              <w:rPr>
                <w:rFonts w:ascii="仿宋_GB2312" w:hAnsi="仿宋_GB2312" w:cs="仿宋_GB2312" w:eastAsia="仿宋_GB2312"/>
                <w:sz w:val="20"/>
              </w:rPr>
              <w:t>须</w:t>
            </w:r>
            <w:r>
              <w:rPr>
                <w:rFonts w:ascii="仿宋_GB2312" w:hAnsi="仿宋_GB2312" w:cs="仿宋_GB2312" w:eastAsia="仿宋_GB2312"/>
                <w:sz w:val="20"/>
              </w:rPr>
              <w:t>具备与所驾驶车辆相匹配驾照。</w:t>
            </w:r>
          </w:p>
          <w:p>
            <w:pPr>
              <w:pStyle w:val="null3"/>
            </w:pPr>
            <w:r>
              <w:rPr>
                <w:rFonts w:ascii="仿宋_GB2312" w:hAnsi="仿宋_GB2312" w:cs="仿宋_GB2312" w:eastAsia="仿宋_GB2312"/>
                <w:sz w:val="20"/>
              </w:rPr>
              <w:t>（</w:t>
            </w:r>
            <w:r>
              <w:rPr>
                <w:rFonts w:ascii="仿宋_GB2312" w:hAnsi="仿宋_GB2312" w:cs="仿宋_GB2312" w:eastAsia="仿宋_GB2312"/>
                <w:sz w:val="20"/>
              </w:rPr>
              <w:t>12）若租赁车辆出现事故或维修期间，供应商需要提供与其功能相同的备选车辆以保证采购人的正常使用。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1.驾驶员要求：年龄不超过45周岁，持有效的C1及以上的驾照，身体健康、品行端正、技术娴熟，具有责任心，5年以上驾驶经验。 2.工作时段内接到出行任务后，做好乘车人员的联系，司机及车辆到达指定位置待命，如遇紧急用车，需10分钟内就绪。节假日等非工作时段（除工作日9:00——18:00外），安排一名值班驾驶人员24小时在岗。 3.驾驶员具有丰富经验和良好的素质，保证安全、准时完成通勤或其它临时任务。司机要做到不酒后驾驶，不带病驾驶，不赌气驾驶，开车时文明驾驶，不聊天、不吸烟、不打电话、不玩手机。司机应当根据天气情况及时调节车内温度及通风，保证乘车人员的舒适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1.7座商务车（含以上标准车辆）2辆、5座轿车10辆（优先考虑新能源汽车）。 2.在满足正常用车的前提下，如果供应商有高于采购要求的替换服务方案，服务车辆可以替换为更高品质的车辆，但结算费用按原中标费用执行。 3.所提供车辆购置年限不超过4年。 4.供应商自行解决交通限行等问题满足采购单位正常用车需求。 5.所提供车辆必须为车辆年检合格，车辆保险手续齐全。 6.采购单位乘坐人员应遵守乘车安全要求，不干扰供应商驾驶人员正常驾驶，不私自驾驶。非采购单位人员造成的交通事故，供应商承担全部责任，并负责相关的善后工作。 7.所提供车辆应符合国家机动车运行安全技术标准，车辆品牌知名度高、市场占有率高、性能安全稳定。并安排人员定期打扫车内外卫生，保持车辆清洁，无异味。</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未按约定提供车辆或车辆不符合要求：供应商承诺提供的车辆品牌、型号、车况、年限、保险、手续等完全符合采购文件，响应文件约定，若成交后未按要求提供，采购人有权要求立即更换，成交供应商未在24小时内更换到位的，每逾期一日，按该车辆当月租金的10%支付违约金。 2.车辆未按时到位、延误使用：成交供应商未按采购人通知的时间、地点提供车辆服务造成用车延误的，每延误一次，按当月履约服务金额的1%支付违约金；因延误造成采购人工作损失、风险或额外费用的，成交供应商另行全额赔偿。 3.驾驶员违规、服务不达标：成交供应商提供的驾驶员须严格服从采购人单位工作管理制度，工作日全天在岗在位，节假日按采购人安排完成值班等任务；驾驶员出现无证驾驶、酒驾、超速、闯红灯、服务态度恶劣、不服从调度等情形，采购人有权要求立即更换，成交供应商未及时更换的，每次支付违约金500-1000元；一年内累计出现三次该类情形，采购人有权解除合同，成交供应商须支付成交合同总金额的15%作为违约金。 4.虚假资料、资质造假：供应商在投标及后续履约过程中，不得提供虚假资质、虚假业绩、虚假车辆信息，若存在该类行为，视为严重违约，采购人有权取消其中标资格或解除合同，供应商须支付成交合同总金额的20%作为违约金，并承担全部违约责任。 5.服务满意度调查：采购人将不定期开展租赁车辆及驾驶人员满意度测评，从车辆舒适度、司机驾驶技术、出车效率、服务满意度等维度进行全面评价，测评结果同步通报成交供应商；若成交供应商测评满意度得分低于90分，经整改后仍未达标，须向采购人支付当月履约金额的20%作为违约金；累计三次及以上测评得分低于90分，采购人有权直接解除合同。 6.违约金支付：违约金可由采购人在结算租金时直接抵扣，或由违约方在违约事实确认后5个工作日内一次性支付。</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结束后，成交人向采购人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按月支付，在服务期内总结算金额不超过预算金额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按月支付，在服务期内总结算金额不超过预算金额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按月支付，在服务期内总结算金额不超过预算金额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按月支付，在服务期内总结算金额不超过预算金额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按月支付，在服务期内总结算金额不超过预算金额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按月支付，在服务期内总结算金额不超过预算金额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按月支付，在服务期内总结算金额不超过预算金额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按月支付，在服务期内总结算金额不超过预算金额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按月支付，在服务期内总结算金额不超过预算金额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按月支付，在服务期内总结算金额不超过预算金额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因执行合同所发生的或与合同有关的一切争议,双方应通过友好协商解决。如果协商开始后六十（60）天还不能解决，可向甲方所在地有管辖权的人民法院提起诉讼。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1.成交供应商在采购结果发布后3个工作日内向代理机构提交纸质版响应文件以便于存档，响应文件正本1份，副本2份，电子版文件2份（以U盘为载体，电子版文件须提供签字盖章齐全的响应文件 PDF 扫描件，内容、格式及信息均须与系统上传文件保持完全一致）。纸质响应文件均须A4纸打印，分别各自装订成册并编制目录和页码。 2.线下递交响应文件地点：西安市雁塔区科技二路71号竹园·天寰国际1107室。 3.如磋商文件中融资相关内容与新政策要求有出入，按照最新要求执行。 4.依据西安市财政局《关于印发〈西安市预算单位政府采购主体责任清单〉的通知》（市财函〔2026〕123 号）相关要求，采购人与中标（成交）供应商应在中标（成交）通知书发出之日起 25 日内签订政府采购合同。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2024或2025年度经审计的完整财务报告，供应商提供的财务审计报告应当赋码，可通过注册会计师行业统一监管平台(http://acc.mof.gov.cn)进行查验；②响应文件递交截止时间前三个月内其基本开户银行出具的资信证明；③财政部门认可的政府采购专业担保机构出具的投标担保函。 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一般资格要求及特殊资格要求.docx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以下三种资料中的任意一种：①2024或2025年度经审计的完整财务报告，供应商提供的财务审计报告应当赋码，可通过注册会计师行业统一监管平台(http://acc.mof.gov.cn)进行查验；②响应文件递交截止时间前三个月内其基本开户银行出具的资信证明；③财政部门认可的政府采购专业担保机构出具的投标担保函。 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提供自2025年3月1日以来已缴存的任意1个月的社会保障资金缴存单据或社保机构开具的社会保险参保缴费情况证明；依法不需要缴纳社会保障资金的供应商应提供相关证明文件。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提供自2025年3月1日以来已缴纳的任意1个月的依法缴纳税收的相关凭据(时间以税款所属日期为准)，凭据应有税务机关或代收机关的公章或业务专用章；依法免税或无须缴纳税收的供应商，应提供相应证明文件。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提供具有履行合同所必需的设备和专业技术能力的书面承诺：提供承诺函，加盖供应商公章。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一般资格要求及特殊资格要求.docx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业绩一览表.docx 中小企业声明函 商务要求应答表.docx 其他材料及供应商认为有必要说明、阐述的事项.docx 响应文件封面 一般资格要求及特殊资格要求.docx 残疾人福利性单位声明函 标的清单 服务内容及服务要求应答表.docx 响应函 陕西省政府采购供应商拒绝政府采购领域商业贿赂承诺书.docx 监狱企业的证明文件 总服务方案.docx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业绩一览表.docx 中小企业声明函 商务要求应答表.docx 其他材料及供应商认为有必要说明、阐述的事项.docx 响应文件封面 一般资格要求及特殊资格要求.docx 残疾人福利性单位声明函 标的清单 服务内容及服务要求应答表.docx 响应函 陕西省政府采购供应商拒绝政府采购领域商业贿赂承诺书.docx 监狱企业的证明文件 总服务方案.docx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商务要求应答表.docx 服务内容及服务要求应答表.docx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业绩一览表.docx 中小企业声明函 商务要求应答表.docx 其他材料及供应商认为有必要说明、阐述的事项.docx 响应文件封面 一般资格要求及特殊资格要求.docx 残疾人福利性单位声明函 标的清单 服务内容及服务要求应答表.docx 响应函 陕西省政府采购供应商拒绝政府采购领域商业贿赂承诺书.docx 监狱企业的证明文件 总服务方案.docx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针对本项目的整体服务方案，内容包含： 1.总体服务方案； 2.针对本项目的重难点分析及解决方案； 3.行车安全检查与隐患治理措施； 4.岗位培训考核方案（包括但不限于岗前培训、定期岗位培训、考核等）。 上述4项内容完整可行得20分；每有一项未提供扣5分；每有一处有瑕疵扣1分，扣完为止。 （瑕疵是指内容缺项、不完整或缺少关键点、只有简单描述无实质性内容；非专门针对本项目或不适用本项目特性、套用其他项目内容；对同一问题前后表述矛盾；存在逻辑漏洞、科学原理或常识错误；明显劣于其他供应商、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供应商针对本项目的人员配备方案，包含： 1.人员配备清单； 2.岗位职责及分工； 3.管理、调度及应急人员配置； 4.拟配置驾驶员情况。 上述4项内容完整可行得20分；每有一项未提供扣5分；每有一处有瑕疵扣1分，扣完为止。 （瑕疵是指内容缺项、不完整或缺少关键点、只有简单描述无实质性内容；非专门针对本项目或不适用本项目特性、套用其他项目内容；对同一问题前后表述矛盾；存在逻辑漏洞、科学原理或常识错误；明显劣于其他供应商、不利于本项目目标的实现、现有技术条件下不可能出现的情形等任意一种情形。） 注：以上人员均须提供身份证、驾驶证（若有）、本单位社保或劳动合同,不提供不得分。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车辆情况</w:t>
            </w:r>
          </w:p>
        </w:tc>
        <w:tc>
          <w:tcPr>
            <w:tcW w:type="dxa" w:w="2492"/>
          </w:tcPr>
          <w:p>
            <w:pPr>
              <w:pStyle w:val="null3"/>
            </w:pPr>
            <w:r>
              <w:rPr>
                <w:rFonts w:ascii="仿宋_GB2312" w:hAnsi="仿宋_GB2312" w:cs="仿宋_GB2312" w:eastAsia="仿宋_GB2312"/>
              </w:rPr>
              <w:t>供应商针对本项目的车辆配备情况（优先考虑新能源汽车），包含： 1.拟投入车辆数量、型号、车辆的合法来源证明材料（如《机动车登记证书》或租赁合同等）及相关车况； 2.车辆保险：包括但不限于交强险、第三者责任险及承运人责任险等； 3.车辆设施配置：包括但不限于GPS全球卫星定位系统、车内监控、空调等； 4.车辆安全配置：包括但不限于防火设施、 医用急救箱、安全锤、清洁、消毒用品等。 上述4项内容完整可行得20分；每有一项未提供扣5分；每有一处有瑕疵扣1分，扣完为止。 （瑕疵是指内容缺项、不完整或缺少关键点、只有简单描述无实质性内容；非专门针对本项目或不适用本项目特性、套用其他项目内容；对同一问题前后表述矛盾；存在逻辑漏洞、科学原理或常识错误；明显劣于其他供应商、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针对司机具有详细的管理制度： 1.岗位制度：包括但不限于岗位职责、服务标准、岗位制度、作业流程等； 2.内控制度：包括但不限于组织机构、内部管理制度、监督机制等； 3.人员管理制度：包含但不限于员工日常管理办法、请销假制度、奖惩措施、激励机制、仪容仪表制度行车礼仪培训制度等； 4.“三检”(出车前、行驶中、收车后)制度。 上述4项内容完整可行得20分；每有一项未提供扣5分；每有一处有瑕疵扣1分，扣完为止。 （瑕疵是指内容缺项、不完整或缺少关键点、只有简单描述无实质性内容；非专门针对本项目或不适用本项目特性、套用其他项目内容；对同一问题前后表述矛盾；存在逻辑漏洞、科学原理或常识错误；明显劣于其他供应商、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针对本项目提供应急措施保障，内容包含： 1. 车辆行驶中突发故障、恶劣天气行驶、突发交通事故和突发交通管制等的应急预案； 2. 违法事件：防盗、打架斗殴、寻衅滋事的应急预案； 3.驾驶员应急人数及人员安排； 4.应急响应时效； 5.重要接待、重大活动、各类迎检工作的应急预案。 上述5项内容完整可行得5分；每有一项未提供扣1分；每有一处有瑕疵扣0.5分，扣完为止。 （瑕疵是指内容缺项、不完整或缺少关键点、只有简单描述无实质性内容；非专门针对本项目或不适用本项目特性、套用其他项目内容；对同一问题前后表述矛盾；存在逻辑漏洞、科学原理或常识错误；明显劣于其他供应商、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供应商提供2023年1月至今类似项目业绩，业绩以合同为依据，响应文件中附有其证明资料，每提供一个业绩证明计2.5分，满分5分。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价格最低的报价为评审基准价，其价格分为满分。其他供应商的价格分统一按照下列公式计算：磋商报价得分=(评审基准价/最终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详见附件：一般资格要求及特殊资格要求.docx</w:t>
      </w:r>
    </w:p>
    <w:p>
      <w:pPr>
        <w:pStyle w:val="null3"/>
        <w:ind w:firstLine="960"/>
      </w:pPr>
      <w:r>
        <w:rPr>
          <w:rFonts w:ascii="仿宋_GB2312" w:hAnsi="仿宋_GB2312" w:cs="仿宋_GB2312" w:eastAsia="仿宋_GB2312"/>
        </w:rPr>
        <w:t>详见附件：总服务方案.docx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详见附件：其他材料及供应商认为有必要说明、阐述的事项.docx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