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版本号：SCZH2025-ZB-3410-00120260401001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2025年城建项目工程造价咨询服务（第二批）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SCZH2025-ZB-3410-001</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2025年城建项目工程造价咨询服务（第二批）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SCZH2025-ZB-3410-001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2025年城建项目工程造价咨询服务（第二批）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列入年度城建投资计划的市本级财政全额投资或补助的工程项目，主要包括：轨道交通工程、市政道路（桥梁）工程、雨污水改造工程、照明工程、交通工程及征地拆迁和相关管线、障碍物迁改等工程结算审核。采购内容：包括但不限于土建、市政、交通、安装等各专业工程结算审核等相关造价咨询服务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1、项目负责人：项目负责人须具备一级注册造价工程师执业资格；</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1、项目负责人：项目负责人须具备一级注册造价工程师执业资格；</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西安市住房和城乡建设局（本级）经办韩磊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61329011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年婷婷、韩昱晨、王斌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029-8821054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采购包1：522,500.00元</w:t>
            </w:r>
          </w:p>
          <w:p>
            <w:pPr>
              <w:pStyle w:val="null3"/>
            </w:pPr>
            <w:r>
              <w:rPr>
                <w:rFonts w:ascii="仿宋_GB2312" w:hAnsi="仿宋_GB2312" w:cs="仿宋_GB2312" w:eastAsia="仿宋_GB2312"/>
              </w:rPr>
              <w:t>采购包2：515,800.00元</w:t>
            </w:r>
          </w:p>
          <w:p>
            <w:pPr>
              <w:pStyle w:val="null3"/>
            </w:pPr>
            <w:r>
              <w:rPr>
                <w:rFonts w:ascii="仿宋_GB2312" w:hAnsi="仿宋_GB2312" w:cs="仿宋_GB2312" w:eastAsia="仿宋_GB2312"/>
              </w:rPr>
              <w:t>采购包3：510,500.00元</w:t>
            </w:r>
          </w:p>
          <w:p>
            <w:pPr>
              <w:pStyle w:val="null3"/>
            </w:pPr>
            <w:r>
              <w:rPr>
                <w:rFonts w:ascii="仿宋_GB2312" w:hAnsi="仿宋_GB2312" w:cs="仿宋_GB2312" w:eastAsia="仿宋_GB2312"/>
              </w:rPr>
              <w:t>采购包4：512,200.00元</w:t>
            </w:r>
          </w:p>
          <w:p>
            <w:pPr>
              <w:pStyle w:val="null3"/>
            </w:pPr>
            <w:r>
              <w:rPr>
                <w:rFonts w:ascii="仿宋_GB2312" w:hAnsi="仿宋_GB2312" w:cs="仿宋_GB2312" w:eastAsia="仿宋_GB2312"/>
              </w:rPr>
              <w:t>采购包5：751,400.00元</w:t>
            </w:r>
          </w:p>
          <w:p>
            <w:pPr>
              <w:pStyle w:val="null3"/>
            </w:pPr>
            <w:r>
              <w:rPr>
                <w:rFonts w:ascii="仿宋_GB2312" w:hAnsi="仿宋_GB2312" w:cs="仿宋_GB2312" w:eastAsia="仿宋_GB2312"/>
              </w:rPr>
              <w:t>采购包6：730,600.00元</w:t>
            </w:r>
          </w:p>
          <w:p>
            <w:pPr>
              <w:pStyle w:val="null3"/>
            </w:pPr>
            <w:r>
              <w:rPr>
                <w:rFonts w:ascii="仿宋_GB2312" w:hAnsi="仿宋_GB2312" w:cs="仿宋_GB2312" w:eastAsia="仿宋_GB2312"/>
              </w:rPr>
              <w:t>采购包7：481,500.00元</w:t>
            </w:r>
          </w:p>
          <w:p>
            <w:pPr>
              <w:pStyle w:val="null3"/>
            </w:pPr>
            <w:r>
              <w:rPr>
                <w:rFonts w:ascii="仿宋_GB2312" w:hAnsi="仿宋_GB2312" w:cs="仿宋_GB2312" w:eastAsia="仿宋_GB2312"/>
              </w:rPr>
              <w:t>采购包8：607,700.00元</w:t>
            </w:r>
          </w:p>
          <w:p>
            <w:pPr>
              <w:pStyle w:val="null3"/>
            </w:pPr>
            <w:r>
              <w:rPr>
                <w:rFonts w:ascii="仿宋_GB2312" w:hAnsi="仿宋_GB2312" w:cs="仿宋_GB2312" w:eastAsia="仿宋_GB2312"/>
              </w:rPr>
              <w:t>采购包9：607,700.00元</w:t>
            </w:r>
          </w:p>
          <w:p>
            <w:pPr>
              <w:pStyle w:val="null3"/>
            </w:pPr>
            <w:r>
              <w:rPr>
                <w:rFonts w:ascii="仿宋_GB2312" w:hAnsi="仿宋_GB2312" w:cs="仿宋_GB2312" w:eastAsia="仿宋_GB2312"/>
              </w:rPr>
              <w:t>采购包10：607,700.00元</w:t>
            </w:r>
          </w:p>
          <w:p>
            <w:pPr>
              <w:pStyle w:val="null3"/>
            </w:pPr>
            <w:r>
              <w:rPr>
                <w:rFonts w:ascii="仿宋_GB2312" w:hAnsi="仿宋_GB2312" w:cs="仿宋_GB2312" w:eastAsia="仿宋_GB2312"/>
              </w:rPr>
              <w:t>采购包11：851,000.00元</w:t>
            </w:r>
          </w:p>
          <w:p>
            <w:pPr>
              <w:pStyle w:val="null3"/>
            </w:pPr>
            <w:r>
              <w:rPr>
                <w:rFonts w:ascii="仿宋_GB2312" w:hAnsi="仿宋_GB2312" w:cs="仿宋_GB2312" w:eastAsia="仿宋_GB2312"/>
              </w:rPr>
              <w:t>采购包12：731,900.00元</w:t>
            </w:r>
          </w:p>
          <w:p>
            <w:pPr>
              <w:pStyle w:val="null3"/>
            </w:pPr>
            <w:r>
              <w:rPr>
                <w:rFonts w:ascii="仿宋_GB2312" w:hAnsi="仿宋_GB2312" w:cs="仿宋_GB2312" w:eastAsia="仿宋_GB2312"/>
              </w:rPr>
              <w:t>采购包13：778,800.00元</w:t>
            </w:r>
          </w:p>
          <w:p>
            <w:pPr>
              <w:pStyle w:val="null3"/>
            </w:pPr>
            <w:r>
              <w:rPr>
                <w:rFonts w:ascii="仿宋_GB2312" w:hAnsi="仿宋_GB2312" w:cs="仿宋_GB2312" w:eastAsia="仿宋_GB2312"/>
              </w:rPr>
              <w:t>采购包14：896,500.00元</w:t>
            </w:r>
          </w:p>
          <w:p>
            <w:pPr>
              <w:pStyle w:val="null3"/>
            </w:pPr>
            <w:r>
              <w:rPr>
                <w:rFonts w:ascii="仿宋_GB2312" w:hAnsi="仿宋_GB2312" w:cs="仿宋_GB2312" w:eastAsia="仿宋_GB2312"/>
              </w:rPr>
              <w:t>采购包15：782,800.00元</w:t>
            </w:r>
          </w:p>
          <w:p>
            <w:pPr>
              <w:pStyle w:val="null3"/>
            </w:pPr>
            <w:r>
              <w:rPr>
                <w:rFonts w:ascii="仿宋_GB2312" w:hAnsi="仿宋_GB2312" w:cs="仿宋_GB2312" w:eastAsia="仿宋_GB2312"/>
              </w:rPr>
              <w:t>采购包16：792,900.00元</w:t>
            </w:r>
          </w:p>
          <w:p>
            <w:pPr>
              <w:pStyle w:val="null3"/>
            </w:pPr>
            <w:r>
              <w:rPr>
                <w:rFonts w:ascii="仿宋_GB2312" w:hAnsi="仿宋_GB2312" w:cs="仿宋_GB2312" w:eastAsia="仿宋_GB2312"/>
              </w:rPr>
              <w:t>采购包17：819,400.00元</w:t>
            </w:r>
          </w:p>
          <w:p>
            <w:pPr>
              <w:pStyle w:val="null3"/>
            </w:pPr>
            <w:r>
              <w:rPr>
                <w:rFonts w:ascii="仿宋_GB2312" w:hAnsi="仿宋_GB2312" w:cs="仿宋_GB2312" w:eastAsia="仿宋_GB2312"/>
              </w:rPr>
              <w:t>采购包18：699,200.00元</w:t>
            </w:r>
          </w:p>
          <w:p>
            <w:pPr>
              <w:pStyle w:val="null3"/>
            </w:pPr>
            <w:r>
              <w:rPr>
                <w:rFonts w:ascii="仿宋_GB2312" w:hAnsi="仿宋_GB2312" w:cs="仿宋_GB2312" w:eastAsia="仿宋_GB2312"/>
              </w:rPr>
              <w:t>采购包19：672,100.00元</w:t>
            </w:r>
          </w:p>
          <w:p>
            <w:pPr>
              <w:pStyle w:val="null3"/>
            </w:pPr>
            <w:r>
              <w:rPr>
                <w:rFonts w:ascii="仿宋_GB2312" w:hAnsi="仿宋_GB2312" w:cs="仿宋_GB2312" w:eastAsia="仿宋_GB2312"/>
              </w:rPr>
              <w:t>采购包20：721,400.00元</w:t>
            </w:r>
          </w:p>
          <w:p>
            <w:pPr>
              <w:pStyle w:val="null3"/>
            </w:pPr>
            <w:r>
              <w:rPr>
                <w:rFonts w:ascii="仿宋_GB2312" w:hAnsi="仿宋_GB2312" w:cs="仿宋_GB2312" w:eastAsia="仿宋_GB2312"/>
              </w:rPr>
              <w:t>采购包21：696,200.00元</w:t>
            </w:r>
          </w:p>
          <w:p>
            <w:pPr>
              <w:pStyle w:val="null3"/>
            </w:pPr>
            <w:r>
              <w:rPr>
                <w:rFonts w:ascii="仿宋_GB2312" w:hAnsi="仿宋_GB2312" w:cs="仿宋_GB2312" w:eastAsia="仿宋_GB2312"/>
              </w:rPr>
              <w:t>采购包22：695,900.00元</w:t>
            </w:r>
          </w:p>
          <w:p>
            <w:pPr>
              <w:pStyle w:val="null3"/>
            </w:pPr>
            <w:r>
              <w:rPr>
                <w:rFonts w:ascii="仿宋_GB2312" w:hAnsi="仿宋_GB2312" w:cs="仿宋_GB2312" w:eastAsia="仿宋_GB2312"/>
              </w:rPr>
              <w:t>采购包23：770,800.00元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下浮15%，按标段收取。按上述标准计算的代理服务费低于8000元的，代理服务费按8000元收取。中标单位在领取中标通知书前，须向招标代理机构一次性支付招标代理服务费。 招标代理服务费账户： 户名：陕西省采购招标有限责任公司 开户行：中国光大银行西安友谊路支行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满足招标人要求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列入年度城建投资计划的市本级财政全额投资或补助的工程项目，主要包括：轨道交通工程、市政道路（桥梁）工程、雨污水改造工程、照明工程、交通工程及征地拆迁和相关管线、障碍物迁改等工程结算审核。采购内容：包括但不限于土建、市政、交通、安装等各专业工程结算审核等相关造价咨询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522,500.00</w:t>
      </w:r>
    </w:p>
    <w:p>
      <w:pPr>
        <w:pStyle w:val="null3"/>
      </w:pPr>
      <w:r>
        <w:rPr>
          <w:rFonts w:ascii="仿宋_GB2312" w:hAnsi="仿宋_GB2312" w:cs="仿宋_GB2312" w:eastAsia="仿宋_GB2312"/>
        </w:rPr>
        <w:t>采购包最高限价（元）: 522,500.00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西安市主干路（长安路-未央路）微改造系统治理工程等项目结算审核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515,800.00</w:t>
      </w:r>
    </w:p>
    <w:p>
      <w:pPr>
        <w:pStyle w:val="null3"/>
      </w:pPr>
      <w:r>
        <w:rPr>
          <w:rFonts w:ascii="仿宋_GB2312" w:hAnsi="仿宋_GB2312" w:cs="仿宋_GB2312" w:eastAsia="仿宋_GB2312"/>
        </w:rPr>
        <w:t>采购包最高限价（元）: 515,800.00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西安市二环路11处拥堵点交通优化工程等项目结算审核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510,500.00</w:t>
      </w:r>
    </w:p>
    <w:p>
      <w:pPr>
        <w:pStyle w:val="null3"/>
      </w:pPr>
      <w:r>
        <w:rPr>
          <w:rFonts w:ascii="仿宋_GB2312" w:hAnsi="仿宋_GB2312" w:cs="仿宋_GB2312" w:eastAsia="仿宋_GB2312"/>
        </w:rPr>
        <w:t>采购包最高限价（元）: 510,500.00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西安市主干路（东西大街及延伸线）微改造系统治理工程等项目结算审核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512,200.00</w:t>
      </w:r>
    </w:p>
    <w:p>
      <w:pPr>
        <w:pStyle w:val="null3"/>
      </w:pPr>
      <w:r>
        <w:rPr>
          <w:rFonts w:ascii="仿宋_GB2312" w:hAnsi="仿宋_GB2312" w:cs="仿宋_GB2312" w:eastAsia="仿宋_GB2312"/>
        </w:rPr>
        <w:t>采购包最高限价（元）: 512,200.00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西安市主干路（咸宁路-明光路）微改造系统治理工程等项目结算审核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512,200.00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751,400.00</w:t>
      </w:r>
    </w:p>
    <w:p>
      <w:pPr>
        <w:pStyle w:val="null3"/>
      </w:pPr>
      <w:r>
        <w:rPr>
          <w:rFonts w:ascii="仿宋_GB2312" w:hAnsi="仿宋_GB2312" w:cs="仿宋_GB2312" w:eastAsia="仿宋_GB2312"/>
        </w:rPr>
        <w:t>采购包最高限价（元）: 751,400.00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大寨路西段（绕城高速-富源四路）市政工程-一标段结算审核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751,400.00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730,600.00</w:t>
      </w:r>
    </w:p>
    <w:p>
      <w:pPr>
        <w:pStyle w:val="null3"/>
      </w:pPr>
      <w:r>
        <w:rPr>
          <w:rFonts w:ascii="仿宋_GB2312" w:hAnsi="仿宋_GB2312" w:cs="仿宋_GB2312" w:eastAsia="仿宋_GB2312"/>
        </w:rPr>
        <w:t>采购包最高限价（元）: 730,600.00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大寨路西段（绕城高速-富源四路）市政工程-二标段结算审核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730,600.00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481,500.00</w:t>
      </w:r>
    </w:p>
    <w:p>
      <w:pPr>
        <w:pStyle w:val="null3"/>
      </w:pPr>
      <w:r>
        <w:rPr>
          <w:rFonts w:ascii="仿宋_GB2312" w:hAnsi="仿宋_GB2312" w:cs="仿宋_GB2312" w:eastAsia="仿宋_GB2312"/>
        </w:rPr>
        <w:t>采购包最高限价（元）: 481,500.00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北辰大道与绕城高速互联互通工程结算审核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481,500.00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607,700.00</w:t>
      </w:r>
    </w:p>
    <w:p>
      <w:pPr>
        <w:pStyle w:val="null3"/>
      </w:pPr>
      <w:r>
        <w:rPr>
          <w:rFonts w:ascii="仿宋_GB2312" w:hAnsi="仿宋_GB2312" w:cs="仿宋_GB2312" w:eastAsia="仿宋_GB2312"/>
        </w:rPr>
        <w:t>采购包最高限价（元）: 607,700.00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经九路下穿陇海铁路立交（结算审核包1）结算审核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607,700.00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607,700.00</w:t>
      </w:r>
    </w:p>
    <w:p>
      <w:pPr>
        <w:pStyle w:val="null3"/>
      </w:pPr>
      <w:r>
        <w:rPr>
          <w:rFonts w:ascii="仿宋_GB2312" w:hAnsi="仿宋_GB2312" w:cs="仿宋_GB2312" w:eastAsia="仿宋_GB2312"/>
        </w:rPr>
        <w:t>采购包最高限价（元）: 607,700.00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经九路下穿陇海铁路立交（结算审核包2）结算审核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607,700.00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607,700.00</w:t>
      </w:r>
    </w:p>
    <w:p>
      <w:pPr>
        <w:pStyle w:val="null3"/>
      </w:pPr>
      <w:r>
        <w:rPr>
          <w:rFonts w:ascii="仿宋_GB2312" w:hAnsi="仿宋_GB2312" w:cs="仿宋_GB2312" w:eastAsia="仿宋_GB2312"/>
        </w:rPr>
        <w:t>采购包最高限价（元）: 607,700.00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经九路下穿陇海铁路立交（结算审核包3）结算审核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607,700.00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851,000.00</w:t>
      </w:r>
    </w:p>
    <w:p>
      <w:pPr>
        <w:pStyle w:val="null3"/>
      </w:pPr>
      <w:r>
        <w:rPr>
          <w:rFonts w:ascii="仿宋_GB2312" w:hAnsi="仿宋_GB2312" w:cs="仿宋_GB2312" w:eastAsia="仿宋_GB2312"/>
        </w:rPr>
        <w:t>采购包最高限价（元）: 851,000.00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西安市地铁临潼线（9号线）一期工程PPP项目（结算审核1包）结算审核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731,900.00</w:t>
      </w:r>
    </w:p>
    <w:p>
      <w:pPr>
        <w:pStyle w:val="null3"/>
      </w:pPr>
      <w:r>
        <w:rPr>
          <w:rFonts w:ascii="仿宋_GB2312" w:hAnsi="仿宋_GB2312" w:cs="仿宋_GB2312" w:eastAsia="仿宋_GB2312"/>
        </w:rPr>
        <w:t>采购包最高限价（元）: 731,900.00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778,800.00</w:t>
      </w:r>
    </w:p>
    <w:p>
      <w:pPr>
        <w:pStyle w:val="null3"/>
      </w:pPr>
      <w:r>
        <w:rPr>
          <w:rFonts w:ascii="仿宋_GB2312" w:hAnsi="仿宋_GB2312" w:cs="仿宋_GB2312" w:eastAsia="仿宋_GB2312"/>
        </w:rPr>
        <w:t>采购包最高限价（元）: 778,800.00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西安市地铁临潼线（9号线）一期工程PPP项目（结算审核3包）结算审核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778,800.00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896,500.00</w:t>
      </w:r>
    </w:p>
    <w:p>
      <w:pPr>
        <w:pStyle w:val="null3"/>
      </w:pPr>
      <w:r>
        <w:rPr>
          <w:rFonts w:ascii="仿宋_GB2312" w:hAnsi="仿宋_GB2312" w:cs="仿宋_GB2312" w:eastAsia="仿宋_GB2312"/>
        </w:rPr>
        <w:t>采购包最高限价（元）: 896,500.00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西安市地铁临潼线（9号线）一期工程PPP项目（结算审核4包）结算审核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782,800.00</w:t>
      </w:r>
    </w:p>
    <w:p>
      <w:pPr>
        <w:pStyle w:val="null3"/>
      </w:pPr>
      <w:r>
        <w:rPr>
          <w:rFonts w:ascii="仿宋_GB2312" w:hAnsi="仿宋_GB2312" w:cs="仿宋_GB2312" w:eastAsia="仿宋_GB2312"/>
        </w:rPr>
        <w:t>采购包最高限价（元）: 782,800.00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西安市地铁临潼线（9号线）一期工程PPP项目（结算审核5包）结算审核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782,800.00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792,900.00</w:t>
      </w:r>
    </w:p>
    <w:p>
      <w:pPr>
        <w:pStyle w:val="null3"/>
      </w:pPr>
      <w:r>
        <w:rPr>
          <w:rFonts w:ascii="仿宋_GB2312" w:hAnsi="仿宋_GB2312" w:cs="仿宋_GB2312" w:eastAsia="仿宋_GB2312"/>
        </w:rPr>
        <w:t>采购包最高限价（元）: 792,900.00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西安市地铁临潼线（9号线）一期工程PPP项目（结算审核6包）结算审核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792,900.00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819,400.00</w:t>
      </w:r>
    </w:p>
    <w:p>
      <w:pPr>
        <w:pStyle w:val="null3"/>
      </w:pPr>
      <w:r>
        <w:rPr>
          <w:rFonts w:ascii="仿宋_GB2312" w:hAnsi="仿宋_GB2312" w:cs="仿宋_GB2312" w:eastAsia="仿宋_GB2312"/>
        </w:rPr>
        <w:t>采购包最高限价（元）: 819,400.00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北辰大道快速化改造绕城立交工程（结算审核1包）结算审核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819,400.00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699,200.00</w:t>
      </w:r>
    </w:p>
    <w:p>
      <w:pPr>
        <w:pStyle w:val="null3"/>
      </w:pPr>
      <w:r>
        <w:rPr>
          <w:rFonts w:ascii="仿宋_GB2312" w:hAnsi="仿宋_GB2312" w:cs="仿宋_GB2312" w:eastAsia="仿宋_GB2312"/>
        </w:rPr>
        <w:t>采购包最高限价（元）: 699,200.00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北辰大道快速化改造绕城立交工程（结算审核2包）结算审核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672,100.00</w:t>
      </w:r>
    </w:p>
    <w:p>
      <w:pPr>
        <w:pStyle w:val="null3"/>
      </w:pPr>
      <w:r>
        <w:rPr>
          <w:rFonts w:ascii="仿宋_GB2312" w:hAnsi="仿宋_GB2312" w:cs="仿宋_GB2312" w:eastAsia="仿宋_GB2312"/>
        </w:rPr>
        <w:t>采购包最高限价（元）: 672,100.00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广运潭大道跨绕城高速项目等项目结算审核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672,100.00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721,400.00</w:t>
      </w:r>
    </w:p>
    <w:p>
      <w:pPr>
        <w:pStyle w:val="null3"/>
      </w:pPr>
      <w:r>
        <w:rPr>
          <w:rFonts w:ascii="仿宋_GB2312" w:hAnsi="仿宋_GB2312" w:cs="仿宋_GB2312" w:eastAsia="仿宋_GB2312"/>
        </w:rPr>
        <w:t>采购包最高限价（元）: 721,400.00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三桥新街-大庆路-长乐路微改造系统治理工程结算审核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696,200.00</w:t>
      </w:r>
    </w:p>
    <w:p>
      <w:pPr>
        <w:pStyle w:val="null3"/>
      </w:pPr>
      <w:r>
        <w:rPr>
          <w:rFonts w:ascii="仿宋_GB2312" w:hAnsi="仿宋_GB2312" w:cs="仿宋_GB2312" w:eastAsia="仿宋_GB2312"/>
        </w:rPr>
        <w:t>采购包最高限价（元）: 696,200.00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华清路微改造系统治理工程等项目结算审核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695,900.00</w:t>
      </w:r>
    </w:p>
    <w:p>
      <w:pPr>
        <w:pStyle w:val="null3"/>
      </w:pPr>
      <w:r>
        <w:rPr>
          <w:rFonts w:ascii="仿宋_GB2312" w:hAnsi="仿宋_GB2312" w:cs="仿宋_GB2312" w:eastAsia="仿宋_GB2312"/>
        </w:rPr>
        <w:t>采购包最高限价（元）: 695,900.00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天章大道-天台路-富源三路-云水四路微改造系统治理工程等项目结算审核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695,900.00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770,800.00</w:t>
      </w:r>
    </w:p>
    <w:p>
      <w:pPr>
        <w:pStyle w:val="null3"/>
      </w:pPr>
      <w:r>
        <w:rPr>
          <w:rFonts w:ascii="仿宋_GB2312" w:hAnsi="仿宋_GB2312" w:cs="仿宋_GB2312" w:eastAsia="仿宋_GB2312"/>
        </w:rPr>
        <w:t>采购包最高限价（元）: 770,800.00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长鸣路-幸福路微改造系统治理工程等项目结算审核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标的名称：西安市主干路（长安路-未央路）微改造系统治理工程等项目结算审核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标的名称：西安市二环路11处拥堵点交通优化工程等项目结算审核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标的名称：西安市主干路（东西大街及延伸线）微改造系统治理工程等项目结算审核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标的名称：西安市主干路（咸宁路-明光路）微改造系统治理工程等项目结算审核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标的名称：大寨路西段（绕城高速-富源四路）市政工程-一标段结算审核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标的名称：大寨路西段（绕城高速-富源四路）市政工程-二标段结算审核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标的名称：北辰大道与绕城高速互联互通工程结算审核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标的名称：经九路下穿陇海铁路立交（结算审核包1）结算审核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标的名称：经九路下穿陇海铁路立交（结算审核包2）结算审核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标的名称：经九路下穿陇海铁路立交（结算审核包3）结算审核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标的名称：西安市地铁临潼线（9号线）一期工程PPP项目（结算审核1包）结算审核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标的名称：西安市地铁临潼线（9号线）一期工程PPP项目（结算审核2包）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标的名称：西安市地铁临潼线（9号线）一期工程PPP项目（结算审核3包）结算审核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标的名称：西安市地铁临潼线（9号线）一期工程PPP项目（结算审核4包）结算审核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标的名称：西安市地铁临潼线（9号线）一期工程PPP项目（结算审核5包）结算审核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标的名称：西安市地铁临潼线（9号线）一期工程PPP项目（结算审核6包）结算审核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标的名称：北辰大道快速化改造绕城立交工程（结算审核1包）结算审核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标的名称：北辰大道快速化改造绕城立交工程（结算审核2包）结算审核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标的名称：广运潭大道跨绕城高速项目等项目结算审核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标的名称：三桥新街-大庆路-长乐路微改造系统治理工程结算审核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标的名称：华清路微改造系统治理工程等项目结算审核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标的名称：天章大道-天台路-富源三路-云水四路微改造系统治理工程等项目结算审核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标的名称：长鸣路-幸福路微改造系统治理工程等项目结算审核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color w:val="000000"/>
              </w:rPr>
              <w:t>列入年度城建投资计划的市本级财政全额投资或补助的工程项目，主要包括：轨道交通工程、市政道路（桥梁）工程、雨污水改造工程、照明工程、交通工程及征地拆迁和相关管线、障碍物迁改等工程结算审核</w:t>
            </w:r>
            <w:r>
              <w:rPr>
                <w:rFonts w:ascii="仿宋_GB2312" w:hAnsi="仿宋_GB2312" w:cs="仿宋_GB2312" w:eastAsia="仿宋_GB2312"/>
                <w:sz w:val="24"/>
                <w:color w:val="000000"/>
              </w:rPr>
              <w:t>。采购内容：包括但不限于土建、市政、交通、安装等各专业工程结算审核等相关造价咨询服务内容。</w:t>
            </w:r>
          </w:p>
          <w:p>
            <w:pPr>
              <w:pStyle w:val="null3"/>
              <w:jc w:val="both"/>
            </w:pPr>
            <w:r>
              <w:rPr>
                <w:rFonts w:ascii="仿宋_GB2312" w:hAnsi="仿宋_GB2312" w:cs="仿宋_GB2312" w:eastAsia="仿宋_GB2312"/>
                <w:sz w:val="24"/>
                <w:b/>
                <w:color w:val="000000"/>
              </w:rPr>
              <w:t>二、技术商务要求</w:t>
            </w:r>
          </w:p>
          <w:p>
            <w:pPr>
              <w:pStyle w:val="null3"/>
              <w:ind w:firstLine="240"/>
              <w:jc w:val="both"/>
            </w:pPr>
            <w:r>
              <w:rPr>
                <w:rFonts w:ascii="仿宋_GB2312" w:hAnsi="仿宋_GB2312" w:cs="仿宋_GB2312" w:eastAsia="仿宋_GB2312"/>
                <w:sz w:val="24"/>
                <w:color w:val="000000"/>
              </w:rPr>
              <w:t>1.服务内容：包括但不限于土建、市政、交通、安装等各专业工程结算审核等相关造价咨询服务内容。</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2.工作依据：</w:t>
            </w:r>
            <w:r>
              <w:rPr>
                <w:rFonts w:ascii="仿宋_GB2312" w:hAnsi="仿宋_GB2312" w:cs="仿宋_GB2312" w:eastAsia="仿宋_GB2312"/>
                <w:sz w:val="24"/>
                <w:color w:val="000000"/>
              </w:rPr>
              <w:t>严格执行国家、省、市有关工程造价的法律、法规、规章、规范性文件及计价依据，以及</w:t>
            </w:r>
            <w:r>
              <w:rPr>
                <w:rFonts w:ascii="仿宋_GB2312" w:hAnsi="仿宋_GB2312" w:cs="仿宋_GB2312" w:eastAsia="仿宋_GB2312"/>
                <w:sz w:val="24"/>
                <w:color w:val="000000"/>
              </w:rPr>
              <w:t>“陕价行发〔2014〕88号”文件规定的收费标准。</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.其他需要评审的业务等。</w:t>
            </w:r>
          </w:p>
          <w:p>
            <w:pPr>
              <w:pStyle w:val="null3"/>
              <w:jc w:val="left"/>
            </w:pPr>
            <w:r>
              <w:rPr>
                <w:rFonts w:ascii="仿宋_GB2312" w:hAnsi="仿宋_GB2312" w:cs="仿宋_GB2312" w:eastAsia="仿宋_GB2312"/>
                <w:sz w:val="24"/>
                <w:b/>
                <w:color w:val="000000"/>
              </w:rPr>
              <w:t>三、具体工作内容及标准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审核过程：审核分三个阶段进行</w:t>
            </w:r>
            <w:r>
              <w:rPr>
                <w:rFonts w:ascii="仿宋_GB2312" w:hAnsi="仿宋_GB2312" w:cs="仿宋_GB2312" w:eastAsia="仿宋_GB2312"/>
                <w:sz w:val="24"/>
                <w:color w:val="000000"/>
              </w:rPr>
              <w:t>:第一阶段：投标人接受招标人委托审核项目，出具审核报告。第二阶段（如有）：招标人将审核结果报市财政局进行财政评审。第三阶段（如有）：投标人全力配合甲方完成财评相关程序及要求。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.投标人应于接收委托资料之日起，15-20个工作日内完成初审并向招标人提交完整的初审稿电子版及</w:t>
            </w:r>
            <w:r>
              <w:rPr>
                <w:rFonts w:ascii="仿宋_GB2312" w:hAnsi="仿宋_GB2312" w:cs="仿宋_GB2312" w:eastAsia="仿宋_GB2312"/>
                <w:sz w:val="24"/>
                <w:color w:val="000000"/>
              </w:rPr>
              <w:t>2</w:t>
            </w:r>
            <w:r>
              <w:rPr>
                <w:rFonts w:ascii="仿宋_GB2312" w:hAnsi="仿宋_GB2312" w:cs="仿宋_GB2312" w:eastAsia="仿宋_GB2312"/>
                <w:sz w:val="24"/>
                <w:color w:val="000000"/>
              </w:rPr>
              <w:t>份纸质版初审报告。对账完成后，向招标人提交完整的对账稿电子版及贰份纸质版对账稿。终审完成，向招标人提交完整的成果文件电子版及</w:t>
            </w:r>
            <w:r>
              <w:rPr>
                <w:rFonts w:ascii="仿宋_GB2312" w:hAnsi="仿宋_GB2312" w:cs="仿宋_GB2312" w:eastAsia="仿宋_GB2312"/>
                <w:sz w:val="24"/>
                <w:color w:val="000000"/>
              </w:rPr>
              <w:t>6</w:t>
            </w:r>
            <w:r>
              <w:rPr>
                <w:rFonts w:ascii="仿宋_GB2312" w:hAnsi="仿宋_GB2312" w:cs="仿宋_GB2312" w:eastAsia="仿宋_GB2312"/>
                <w:sz w:val="24"/>
                <w:color w:val="000000"/>
              </w:rPr>
              <w:t>份纸质版成果文件报告（</w:t>
            </w:r>
            <w:r>
              <w:rPr>
                <w:rFonts w:ascii="仿宋_GB2312" w:hAnsi="仿宋_GB2312" w:cs="仿宋_GB2312" w:eastAsia="仿宋_GB2312"/>
                <w:sz w:val="24"/>
                <w:color w:val="000000"/>
              </w:rPr>
              <w:t>PPP项目及代建项目向招标人提交完整的成果文件电子版及</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份纸质版成果文件报告，有特殊要求的另行约定）。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.保证运用指定的正版软件及最新版本，按具体要求编制造价咨询成果。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.按照国家法律、法规的有关规定，依据城建项目评审规定及操作规程，遵照客观、公平、公正的原则开展</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业务。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.独立完成</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任务，不得以任何形式将已接收的</w:t>
            </w:r>
            <w:r>
              <w:rPr>
                <w:rFonts w:ascii="仿宋_GB2312" w:hAnsi="仿宋_GB2312" w:cs="仿宋_GB2312" w:eastAsia="仿宋_GB2312"/>
                <w:sz w:val="24"/>
                <w:color w:val="000000"/>
              </w:rPr>
              <w:t>造价审核</w:t>
            </w:r>
            <w:r>
              <w:rPr>
                <w:rFonts w:ascii="仿宋_GB2312" w:hAnsi="仿宋_GB2312" w:cs="仿宋_GB2312" w:eastAsia="仿宋_GB2312"/>
                <w:sz w:val="24"/>
                <w:color w:val="000000"/>
              </w:rPr>
              <w:t>任务再委托给其他机构。</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进展情况要定期向招标人报告，及时答复有关问题；对在</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中遇到的重大问题应及时向招标人报告。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.在规定的时间内向招标人出具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结论。对出具的</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结论的真实性、合法性、准确性负永久的法律责任。</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.未经招标人批准，不得以任何形式向任何单位或个人披露</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项目的有关信息，不得对外提供、泄露或公开</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项目的有关情况。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.所有造价人员均应业务熟练，责任心强，思想品德过硬；其中主审人员须具备一级注册造价工程师执业资格。</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.项目服务期间，选派符合要求的专业人员参与工作，做好派出相关人员的组织管理工作，未经批准不得擅自变更项目人员，存在回避情形时，应当主动告知并予以回避。</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.对在项目服务期间发现的违法和重大违纪违规问题随时向招标人汇报，并及时提供发现问题疑点和线索的书面资料，如隐瞒不报出具虚假资料，或者有其他违法、违规行为的，将移送有关部门依法处理。</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.要妥善保管有关各方提供的各类资料，如有丢失承担全部责任。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.对咨询服务结果的真实性、准确性和合法性负责，如因质量问题、廉政问题而引起不良后果，负责解释、答疑和澄清，并承担相应法律责任。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.项目服务完成后，按招标人要求出具相关报告并对相关资料进行收集、整理、装订成册，交付招标人归档保存。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.项目服务期间，投标人及其派出人员不得将与项目服务事项有关各方提供的各类资料及其报告和结果，用于与服务事项无关的目的。</w:t>
            </w:r>
          </w:p>
          <w:p>
            <w:pPr>
              <w:pStyle w:val="null3"/>
              <w:ind w:firstLine="241"/>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服务期限：自本合同签订之日起至完成合同内全部委托内容止。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2）付款方式：乙方出具合同包所有项目的正式审核报告后，甲方支付基本审核费；完成合同内全部项目审查后，甲方支付剩余咨询服务费。</w:t>
            </w:r>
          </w:p>
          <w:p>
            <w:pPr>
              <w:pStyle w:val="null3"/>
              <w:jc w:val="both"/>
              <w:outlineLvl w:val="3"/>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五、其他相关要求</w:t>
            </w:r>
          </w:p>
          <w:p>
            <w:pPr>
              <w:pStyle w:val="null3"/>
              <w:jc w:val="both"/>
              <w:outlineLvl w:val="3"/>
            </w:pPr>
            <w:r>
              <w:rPr>
                <w:rFonts w:ascii="仿宋_GB2312" w:hAnsi="仿宋_GB2312" w:cs="仿宋_GB2312" w:eastAsia="仿宋_GB2312"/>
                <w:sz w:val="24"/>
                <w:b/>
                <w:color w:val="000000"/>
              </w:rPr>
              <w:t>本项目评审环节按合同包序号依次进行评审，如投标人参与多个合同包的投标，仅可中标</w:t>
            </w:r>
            <w:r>
              <w:rPr>
                <w:rFonts w:ascii="仿宋_GB2312" w:hAnsi="仿宋_GB2312" w:cs="仿宋_GB2312" w:eastAsia="仿宋_GB2312"/>
                <w:sz w:val="24"/>
                <w:b/>
                <w:color w:val="000000"/>
              </w:rPr>
              <w:t>1 个合同包，后续合同包评审时不作为中标候选人推荐。</w:t>
            </w:r>
          </w:p>
          <w:p>
            <w:pPr>
              <w:pStyle w:val="null3"/>
              <w:ind w:firstLine="420"/>
              <w:jc w:val="left"/>
            </w:pPr>
            <w:r>
              <w:rPr>
                <w:rFonts w:ascii="仿宋_GB2312" w:hAnsi="仿宋_GB2312" w:cs="仿宋_GB2312" w:eastAsia="仿宋_GB2312"/>
                <w:sz w:val="24"/>
                <w:b/>
                <w:color w:val="000000"/>
              </w:rPr>
              <w:t>六、本项目标包具体划分情况如下：</w:t>
            </w:r>
          </w:p>
          <w:p>
            <w:pPr>
              <w:pStyle w:val="null3"/>
              <w:jc w:val="right"/>
            </w:pPr>
            <w:r>
              <w:rPr>
                <w:rFonts w:ascii="仿宋_GB2312" w:hAnsi="仿宋_GB2312" w:cs="仿宋_GB2312" w:eastAsia="仿宋_GB2312"/>
                <w:sz w:val="24"/>
                <w:b/>
                <w:color w:val="000000"/>
              </w:rPr>
              <w:t>单位：万元</w:t>
            </w:r>
          </w:p>
          <w:tbl>
            <w:tblPr>
              <w:tblBorders>
                <w:top w:val="none" w:color="000000" w:sz="4"/>
                <w:left w:val="none" w:color="000000" w:sz="4"/>
                <w:bottom w:val="none" w:color="000000" w:sz="4"/>
                <w:right w:val="none" w:color="000000" w:sz="4"/>
                <w:insideH w:val="none"/>
                <w:insideV w:val="none"/>
              </w:tblBorders>
            </w:tblPr>
            <w:tblGrid>
              <w:gridCol w:w="242"/>
              <w:gridCol w:w="944"/>
              <w:gridCol w:w="230"/>
              <w:gridCol w:w="363"/>
              <w:gridCol w:w="488"/>
              <w:gridCol w:w="286"/>
            </w:tblGrid>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合同包内容</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包号</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审查</w:t>
                  </w:r>
                </w:p>
                <w:p>
                  <w:pPr>
                    <w:pStyle w:val="null3"/>
                    <w:jc w:val="center"/>
                  </w:pPr>
                  <w:r>
                    <w:rPr>
                      <w:rFonts w:ascii="仿宋_GB2312" w:hAnsi="仿宋_GB2312" w:cs="仿宋_GB2312" w:eastAsia="仿宋_GB2312"/>
                      <w:sz w:val="24"/>
                    </w:rPr>
                    <w:t>类别</w:t>
                  </w:r>
                  <w:r>
                    <w:br/>
                  </w:r>
                </w:p>
              </w:tc>
              <w:tc>
                <w:tcPr>
                  <w:tcW w:type="dxa" w:w="4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报送审金额</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w:t>
                  </w:r>
                </w:p>
                <w:p>
                  <w:pPr>
                    <w:pStyle w:val="null3"/>
                    <w:jc w:val="center"/>
                  </w:pPr>
                  <w:r>
                    <w:rPr>
                      <w:rFonts w:ascii="仿宋_GB2312" w:hAnsi="仿宋_GB2312" w:cs="仿宋_GB2312" w:eastAsia="仿宋_GB2312"/>
                      <w:sz w:val="24"/>
                    </w:rPr>
                    <w:t>限价</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西安市主干路（长安路</w:t>
                  </w:r>
                  <w:r>
                    <w:rPr>
                      <w:rFonts w:ascii="仿宋_GB2312" w:hAnsi="仿宋_GB2312" w:cs="仿宋_GB2312" w:eastAsia="仿宋_GB2312"/>
                      <w:sz w:val="24"/>
                      <w:b/>
                    </w:rPr>
                    <w:t>-</w:t>
                  </w:r>
                  <w:r>
                    <w:rPr>
                      <w:rFonts w:ascii="仿宋_GB2312" w:hAnsi="仿宋_GB2312" w:cs="仿宋_GB2312" w:eastAsia="仿宋_GB2312"/>
                      <w:sz w:val="24"/>
                      <w:b/>
                    </w:rPr>
                    <w:t>未央路）微改造系统治理工程等项目结算审核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52.25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西安市主干路（长安路</w:t>
                  </w:r>
                  <w:r>
                    <w:rPr>
                      <w:rFonts w:ascii="仿宋_GB2312" w:hAnsi="仿宋_GB2312" w:cs="仿宋_GB2312" w:eastAsia="仿宋_GB2312"/>
                      <w:sz w:val="24"/>
                    </w:rPr>
                    <w:t>-</w:t>
                  </w:r>
                  <w:r>
                    <w:rPr>
                      <w:rFonts w:ascii="仿宋_GB2312" w:hAnsi="仿宋_GB2312" w:cs="仿宋_GB2312" w:eastAsia="仿宋_GB2312"/>
                      <w:sz w:val="24"/>
                    </w:rPr>
                    <w:t>未央路）微改造系统治理工程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16402.03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9</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4090.36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西安市二环路</w:t>
                  </w:r>
                  <w:r>
                    <w:rPr>
                      <w:rFonts w:ascii="仿宋_GB2312" w:hAnsi="仿宋_GB2312" w:cs="仿宋_GB2312" w:eastAsia="仿宋_GB2312"/>
                      <w:sz w:val="24"/>
                      <w:b/>
                    </w:rPr>
                    <w:t>11</w:t>
                  </w:r>
                  <w:r>
                    <w:rPr>
                      <w:rFonts w:ascii="仿宋_GB2312" w:hAnsi="仿宋_GB2312" w:cs="仿宋_GB2312" w:eastAsia="仿宋_GB2312"/>
                      <w:sz w:val="24"/>
                      <w:b/>
                    </w:rPr>
                    <w:t>处拥堵点交通优化工程等项目结算审核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51.58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西安市二环路</w:t>
                  </w:r>
                  <w:r>
                    <w:rPr>
                      <w:rFonts w:ascii="仿宋_GB2312" w:hAnsi="仿宋_GB2312" w:cs="仿宋_GB2312" w:eastAsia="仿宋_GB2312"/>
                      <w:sz w:val="24"/>
                    </w:rPr>
                    <w:t>11</w:t>
                  </w:r>
                  <w:r>
                    <w:rPr>
                      <w:rFonts w:ascii="仿宋_GB2312" w:hAnsi="仿宋_GB2312" w:cs="仿宋_GB2312" w:eastAsia="仿宋_GB2312"/>
                      <w:sz w:val="24"/>
                    </w:rPr>
                    <w:t>处拥堵点交通优化工程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7492.21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三标段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2680.59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-朱宏路立交改造工程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7677.86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西安市主干路（东西大街及延伸线）微改造系统治理工程等项目结算审核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51.05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西安市主干路（东西大街及延伸线）微改造系统治理工程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20723.45</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西铜高速城市段电信光缆迁改（秦汉大道</w:t>
                  </w:r>
                  <w:r>
                    <w:rPr>
                      <w:rFonts w:ascii="仿宋_GB2312" w:hAnsi="仿宋_GB2312" w:cs="仿宋_GB2312" w:eastAsia="仿宋_GB2312"/>
                      <w:sz w:val="24"/>
                    </w:rPr>
                    <w:t>—柳林村段）工程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西铜高速城市段电信光缆迁改工程（柳林村北</w:t>
                  </w:r>
                  <w:r>
                    <w:rPr>
                      <w:rFonts w:ascii="仿宋_GB2312" w:hAnsi="仿宋_GB2312" w:cs="仿宋_GB2312" w:eastAsia="仿宋_GB2312"/>
                      <w:sz w:val="24"/>
                    </w:rPr>
                    <w:t>—河堤路）</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96.34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西铜高速城市段电信光缆迁改（凤城十二路</w:t>
                  </w:r>
                  <w:r>
                    <w:rPr>
                      <w:rFonts w:ascii="仿宋_GB2312" w:hAnsi="仿宋_GB2312" w:cs="仿宋_GB2312" w:eastAsia="仿宋_GB2312"/>
                      <w:sz w:val="24"/>
                    </w:rPr>
                    <w:t>—秦汉大道南）</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西铜高速城市段地下水井迁建工程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西铜高速城市段电力迁改工程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西铜高速城市段元朔路立交秦华</w:t>
                  </w:r>
                  <w:r>
                    <w:rPr>
                      <w:rFonts w:ascii="仿宋_GB2312" w:hAnsi="仿宋_GB2312" w:cs="仿宋_GB2312" w:eastAsia="仿宋_GB2312"/>
                      <w:sz w:val="24"/>
                    </w:rPr>
                    <w:t>DN350次高压天然气管道迁改工程--安装</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314.51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西安市主干路（咸宁路、明光路）微改造系统治理工程等项目结算审核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51.22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西安市主干路（咸宁路、明光路）微改造系统治理工程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18521.64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19</w:t>
                  </w:r>
                  <w:r>
                    <w:rPr>
                      <w:rFonts w:ascii="仿宋_GB2312" w:hAnsi="仿宋_GB2312" w:cs="仿宋_GB2312" w:eastAsia="仿宋_GB2312"/>
                      <w:sz w:val="24"/>
                    </w:rPr>
                    <w:t>座立交亮化及</w:t>
                  </w:r>
                  <w:r>
                    <w:rPr>
                      <w:rFonts w:ascii="仿宋_GB2312" w:hAnsi="仿宋_GB2312" w:cs="仿宋_GB2312" w:eastAsia="仿宋_GB2312"/>
                      <w:sz w:val="24"/>
                    </w:rPr>
                    <w:t>8</w:t>
                  </w:r>
                  <w:r>
                    <w:rPr>
                      <w:rFonts w:ascii="仿宋_GB2312" w:hAnsi="仿宋_GB2312" w:cs="仿宋_GB2312" w:eastAsia="仿宋_GB2312"/>
                      <w:sz w:val="24"/>
                    </w:rPr>
                    <w:t>条道路电源并网改造工程</w:t>
                  </w:r>
                  <w:r>
                    <w:rPr>
                      <w:rFonts w:ascii="仿宋_GB2312" w:hAnsi="仿宋_GB2312" w:cs="仿宋_GB2312" w:eastAsia="仿宋_GB2312"/>
                      <w:sz w:val="24"/>
                    </w:rPr>
                    <w:t>-</w:t>
                  </w:r>
                  <w:r>
                    <w:rPr>
                      <w:rFonts w:ascii="仿宋_GB2312" w:hAnsi="仿宋_GB2312" w:cs="仿宋_GB2312" w:eastAsia="仿宋_GB2312"/>
                      <w:sz w:val="24"/>
                    </w:rPr>
                    <w:t>四标段</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2259.41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一标段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34019.48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大寨路西段（绕城高速</w:t>
                  </w:r>
                  <w:r>
                    <w:rPr>
                      <w:rFonts w:ascii="仿宋_GB2312" w:hAnsi="仿宋_GB2312" w:cs="仿宋_GB2312" w:eastAsia="仿宋_GB2312"/>
                      <w:sz w:val="24"/>
                      <w:b/>
                    </w:rPr>
                    <w:t>-</w:t>
                  </w:r>
                  <w:r>
                    <w:rPr>
                      <w:rFonts w:ascii="仿宋_GB2312" w:hAnsi="仿宋_GB2312" w:cs="仿宋_GB2312" w:eastAsia="仿宋_GB2312"/>
                      <w:sz w:val="24"/>
                      <w:b/>
                    </w:rPr>
                    <w:t>富源四路）市政工程</w:t>
                  </w:r>
                  <w:r>
                    <w:rPr>
                      <w:rFonts w:ascii="仿宋_GB2312" w:hAnsi="仿宋_GB2312" w:cs="仿宋_GB2312" w:eastAsia="仿宋_GB2312"/>
                      <w:sz w:val="24"/>
                      <w:b/>
                    </w:rPr>
                    <w:t>-</w:t>
                  </w:r>
                  <w:r>
                    <w:rPr>
                      <w:rFonts w:ascii="仿宋_GB2312" w:hAnsi="仿宋_GB2312" w:cs="仿宋_GB2312" w:eastAsia="仿宋_GB2312"/>
                      <w:sz w:val="24"/>
                      <w:b/>
                    </w:rPr>
                    <w:t>二标段</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32980.51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73.06</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北辰大道与绕城高速互联互通工程结算审核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20523.18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48.15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经九路下穿陇海铁路立交（结算审核包</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26837.46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60.77</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39001.89</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85.10</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2</w:t>
                  </w:r>
                  <w:r>
                    <w:rPr>
                      <w:rFonts w:ascii="仿宋_GB2312" w:hAnsi="仿宋_GB2312" w:cs="仿宋_GB2312" w:eastAsia="仿宋_GB2312"/>
                      <w:sz w:val="24"/>
                      <w:b/>
                    </w:rPr>
                    <w:t>包）</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33042.88</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73.19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35391.06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77.88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41272.94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89.65</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5</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35592.46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78.28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西安市地铁临潼线（</w:t>
                  </w:r>
                  <w:r>
                    <w:rPr>
                      <w:rFonts w:ascii="仿宋_GB2312" w:hAnsi="仿宋_GB2312" w:cs="仿宋_GB2312" w:eastAsia="仿宋_GB2312"/>
                      <w:sz w:val="24"/>
                      <w:b/>
                    </w:rPr>
                    <w:t>9</w:t>
                  </w:r>
                  <w:r>
                    <w:rPr>
                      <w:rFonts w:ascii="仿宋_GB2312" w:hAnsi="仿宋_GB2312" w:cs="仿宋_GB2312" w:eastAsia="仿宋_GB2312"/>
                      <w:sz w:val="24"/>
                      <w:b/>
                    </w:rPr>
                    <w:t>号线）一期工程</w:t>
                  </w:r>
                  <w:r>
                    <w:rPr>
                      <w:rFonts w:ascii="仿宋_GB2312" w:hAnsi="仿宋_GB2312" w:cs="仿宋_GB2312" w:eastAsia="仿宋_GB2312"/>
                      <w:sz w:val="24"/>
                      <w:b/>
                    </w:rPr>
                    <w:t>PPP</w:t>
                  </w:r>
                  <w:r>
                    <w:rPr>
                      <w:rFonts w:ascii="仿宋_GB2312" w:hAnsi="仿宋_GB2312" w:cs="仿宋_GB2312" w:eastAsia="仿宋_GB2312"/>
                      <w:sz w:val="24"/>
                      <w:b/>
                    </w:rPr>
                    <w:t>项目（结算审核</w:t>
                  </w:r>
                  <w:r>
                    <w:rPr>
                      <w:rFonts w:ascii="仿宋_GB2312" w:hAnsi="仿宋_GB2312" w:cs="仿宋_GB2312" w:eastAsia="仿宋_GB2312"/>
                      <w:sz w:val="24"/>
                      <w:b/>
                    </w:rPr>
                    <w:t>6</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36096.06</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79.29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53453.97</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81.94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北辰大道快速化改造绕城立交工程（结算审核</w:t>
                  </w:r>
                  <w:r>
                    <w:rPr>
                      <w:rFonts w:ascii="仿宋_GB2312" w:hAnsi="仿宋_GB2312" w:cs="仿宋_GB2312" w:eastAsia="仿宋_GB2312"/>
                      <w:sz w:val="24"/>
                      <w:b/>
                    </w:rPr>
                    <w:t>2包）</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44874.71</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67.21</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广运潭大道跨绕城高速项目</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17545.82</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科技路</w:t>
                  </w:r>
                  <w:r>
                    <w:rPr>
                      <w:rFonts w:ascii="仿宋_GB2312" w:hAnsi="仿宋_GB2312" w:cs="仿宋_GB2312" w:eastAsia="仿宋_GB2312"/>
                      <w:sz w:val="24"/>
                      <w:b/>
                    </w:rPr>
                    <w:t>-小寨路-西影路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9054.27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三桥新街</w:t>
                  </w:r>
                  <w:r>
                    <w:rPr>
                      <w:rFonts w:ascii="仿宋_GB2312" w:hAnsi="仿宋_GB2312" w:cs="仿宋_GB2312" w:eastAsia="仿宋_GB2312"/>
                      <w:sz w:val="24"/>
                      <w:b/>
                    </w:rPr>
                    <w:t>-大庆路-长乐路</w:t>
                  </w:r>
                </w:p>
                <w:p>
                  <w:pPr>
                    <w:pStyle w:val="null3"/>
                    <w:jc w:val="center"/>
                  </w:pPr>
                  <w:r>
                    <w:rPr>
                      <w:rFonts w:ascii="仿宋_GB2312" w:hAnsi="仿宋_GB2312" w:cs="仿宋_GB2312" w:eastAsia="仿宋_GB2312"/>
                      <w:sz w:val="24"/>
                      <w:b/>
                    </w:rPr>
                    <w:t>微改造系统治理工程</w:t>
                  </w:r>
                  <w:r>
                    <w:rPr>
                      <w:rFonts w:ascii="仿宋_GB2312" w:hAnsi="仿宋_GB2312" w:cs="仿宋_GB2312" w:eastAsia="仿宋_GB2312"/>
                      <w:sz w:val="24"/>
                      <w:b/>
                    </w:rPr>
                    <w:t>结算审核</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32518.70</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72.14</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p>
                  <w:pPr>
                    <w:pStyle w:val="null3"/>
                    <w:jc w:val="center"/>
                  </w:pP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69.62</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华清路微改造系统治理工程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4294.07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广运潭大道微改造系统治理工程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15554.61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凤城二路</w:t>
                  </w:r>
                  <w:r>
                    <w:rPr>
                      <w:rFonts w:ascii="仿宋_GB2312" w:hAnsi="仿宋_GB2312" w:cs="仿宋_GB2312" w:eastAsia="仿宋_GB2312"/>
                      <w:sz w:val="24"/>
                      <w:b/>
                    </w:rPr>
                    <w:t>-浐灞一路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6381.90</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69.59</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天章大道</w:t>
                  </w:r>
                  <w:r>
                    <w:rPr>
                      <w:rFonts w:ascii="仿宋_GB2312" w:hAnsi="仿宋_GB2312" w:cs="仿宋_GB2312" w:eastAsia="仿宋_GB2312"/>
                      <w:sz w:val="24"/>
                      <w:b/>
                    </w:rPr>
                    <w:t>-天台路-富源三路-云水四路微改造系统治理工程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12111.27</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三环路微改造系统治理工程</w:t>
                  </w:r>
                  <w:r>
                    <w:rPr>
                      <w:rFonts w:ascii="仿宋_GB2312" w:hAnsi="仿宋_GB2312" w:cs="仿宋_GB2312" w:eastAsia="仿宋_GB2312"/>
                      <w:sz w:val="24"/>
                      <w:b/>
                    </w:rPr>
                    <w:t>—</w:t>
                  </w:r>
                  <w:r>
                    <w:br/>
                  </w:r>
                  <w:r>
                    <w:rPr>
                      <w:rFonts w:ascii="仿宋_GB2312" w:hAnsi="仿宋_GB2312" w:cs="仿宋_GB2312" w:eastAsia="仿宋_GB2312"/>
                      <w:sz w:val="24"/>
                      <w:b/>
                    </w:rPr>
                    <w:t>三环路拥堵点微改造治理工程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15584.29</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r>
                    <w:rPr>
                      <w:rFonts w:ascii="仿宋_GB2312" w:hAnsi="仿宋_GB2312" w:cs="仿宋_GB2312" w:eastAsia="仿宋_GB2312"/>
                      <w:sz w:val="24"/>
                      <w:b/>
                    </w:rPr>
                    <w:t>等项目结算审核</w:t>
                  </w:r>
                </w:p>
              </w:tc>
              <w:tc>
                <w:tcPr>
                  <w:tcW w:type="dxa" w:w="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包</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77.08</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23.1</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-幸福路微改造系统治理工程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3043.21</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23.2</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解放路</w:t>
                  </w:r>
                  <w:r>
                    <w:rPr>
                      <w:rFonts w:ascii="仿宋_GB2312" w:hAnsi="仿宋_GB2312" w:cs="仿宋_GB2312" w:eastAsia="仿宋_GB2312"/>
                      <w:sz w:val="24"/>
                      <w:b/>
                    </w:rPr>
                    <w:t>-和平路-雁塔北路</w:t>
                  </w:r>
                  <w:r>
                    <w:br/>
                  </w:r>
                  <w:r>
                    <w:rPr>
                      <w:rFonts w:ascii="仿宋_GB2312" w:hAnsi="仿宋_GB2312" w:cs="仿宋_GB2312" w:eastAsia="仿宋_GB2312"/>
                      <w:sz w:val="24"/>
                      <w:b/>
                    </w:rPr>
                    <w:t>微改造系统治理工程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3753.94</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23.3</w:t>
                  </w:r>
                </w:p>
                <w:p>
                  <w:pPr>
                    <w:pStyle w:val="null3"/>
                    <w:jc w:val="center"/>
                  </w:pP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张家堡片区城市公共空间更新与功能提升工程</w:t>
                  </w:r>
                  <w:r>
                    <w:rPr>
                      <w:rFonts w:ascii="仿宋_GB2312" w:hAnsi="仿宋_GB2312" w:cs="仿宋_GB2312" w:eastAsia="仿宋_GB2312"/>
                      <w:sz w:val="24"/>
                      <w:b/>
                    </w:rPr>
                    <w:t>—市政道路微改造工程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13803.18</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23.4</w:t>
                  </w:r>
                </w:p>
              </w:tc>
              <w:tc>
                <w:tcPr>
                  <w:tcW w:type="dxa" w:w="9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长鸣路</w:t>
                  </w:r>
                  <w:r>
                    <w:rPr>
                      <w:rFonts w:ascii="仿宋_GB2312" w:hAnsi="仿宋_GB2312" w:cs="仿宋_GB2312" w:eastAsia="仿宋_GB2312"/>
                      <w:sz w:val="24"/>
                      <w:b/>
                    </w:rPr>
                    <w:t>C匝道桥工程</w:t>
                  </w:r>
                </w:p>
              </w:tc>
              <w:tc>
                <w:tcPr>
                  <w:tcW w:type="dxa" w:w="230"/>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7553.66</w:t>
                  </w:r>
                </w:p>
              </w:tc>
              <w:tc>
                <w:tcPr>
                  <w:tcW w:type="dxa" w:w="286"/>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708542.64</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1575.65   </w:t>
                  </w:r>
                </w:p>
              </w:tc>
            </w:tr>
          </w:tbl>
          <w:p>
            <w:pPr>
              <w:pStyle w:val="null3"/>
              <w:ind w:firstLine="240"/>
              <w:jc w:val="both"/>
            </w:pPr>
            <w:r>
              <w:rPr>
                <w:rFonts w:ascii="仿宋_GB2312" w:hAnsi="仿宋_GB2312" w:cs="仿宋_GB2312" w:eastAsia="仿宋_GB2312"/>
                <w:sz w:val="24"/>
                <w:b/>
              </w:rPr>
              <w:t>七、本项目评审</w:t>
            </w: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r>
              <w:rPr>
                <w:rFonts w:ascii="仿宋_GB2312" w:hAnsi="仿宋_GB2312" w:cs="仿宋_GB2312" w:eastAsia="仿宋_GB2312"/>
                <w:sz w:val="28"/>
                <w:b/>
              </w:rPr>
              <w:t>、</w:t>
            </w: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适用于除合同包</w:t>
            </w:r>
            <w:r>
              <w:rPr>
                <w:rFonts w:ascii="仿宋_GB2312" w:hAnsi="仿宋_GB2312" w:cs="仿宋_GB2312" w:eastAsia="仿宋_GB2312"/>
                <w:sz w:val="28"/>
                <w:b/>
              </w:rPr>
              <w:t>17、合同包18外的标包）</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8%的核减率计，且2%（含）以内的核减额不计效益收费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ind w:firstLine="320"/>
              <w:jc w:val="left"/>
            </w:pPr>
            <w:r>
              <w:rPr>
                <w:rFonts w:ascii="仿宋_GB2312" w:hAnsi="仿宋_GB2312" w:cs="仿宋_GB2312" w:eastAsia="仿宋_GB2312"/>
                <w:sz w:val="28"/>
                <w:b/>
              </w:rPr>
              <w:t>结算</w:t>
            </w:r>
            <w:r>
              <w:rPr>
                <w:rFonts w:ascii="仿宋_GB2312" w:hAnsi="仿宋_GB2312" w:cs="仿宋_GB2312" w:eastAsia="仿宋_GB2312"/>
                <w:sz w:val="28"/>
                <w:b/>
              </w:rPr>
              <w:t>审核上限控制费率表</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Borders>
                <w:top w:val="none" w:color="000000" w:sz="4"/>
                <w:left w:val="none" w:color="000000" w:sz="4"/>
                <w:bottom w:val="none" w:color="000000" w:sz="4"/>
                <w:right w:val="none" w:color="000000" w:sz="4"/>
                <w:insideH w:val="none"/>
                <w:insideV w:val="none"/>
              </w:tblBorders>
            </w:tblPr>
            <w:tblGrid>
              <w:gridCol w:w="166"/>
              <w:gridCol w:w="318"/>
              <w:gridCol w:w="268"/>
              <w:gridCol w:w="150"/>
              <w:gridCol w:w="257"/>
              <w:gridCol w:w="289"/>
              <w:gridCol w:w="289"/>
              <w:gridCol w:w="289"/>
              <w:gridCol w:w="322"/>
              <w:gridCol w:w="206"/>
            </w:tblGrid>
            <w:tr>
              <w:tc>
                <w:tcPr>
                  <w:tcW w:type="dxa" w:w="484"/>
                  <w:gridSpan w:val="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收费项目</w:t>
                  </w:r>
                </w:p>
              </w:tc>
              <w:tc>
                <w:tcPr>
                  <w:tcW w:type="dxa" w:w="26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计费基数</w:t>
                  </w:r>
                </w:p>
              </w:tc>
              <w:tc>
                <w:tcPr>
                  <w:tcW w:type="dxa" w:w="1802"/>
                  <w:gridSpan w:val="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最高收费标准</w:t>
                  </w:r>
                </w:p>
              </w:tc>
            </w:tr>
            <w:tr>
              <w:tc>
                <w:tcPr>
                  <w:tcW w:type="dxa" w:w="484"/>
                  <w:gridSpan w:val="2"/>
                  <w:vMerge/>
                  <w:tcBorders>
                    <w:top w:val="single" w:color="000000" w:sz="4"/>
                    <w:left w:val="single" w:color="000000" w:sz="4"/>
                    <w:bottom w:val="single" w:color="000000" w:sz="4"/>
                    <w:right w:val="single" w:color="000000" w:sz="4"/>
                  </w:tcBorders>
                </w:tcPr>
                <w:p/>
              </w:tc>
              <w:tc>
                <w:tcPr>
                  <w:tcW w:type="dxa" w:w="268"/>
                  <w:vMerge/>
                  <w:tcBorders>
                    <w:top w:val="single" w:color="000000" w:sz="4"/>
                    <w:left w:val="non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≤500万元</w:t>
                  </w:r>
                </w:p>
              </w:tc>
              <w:tc>
                <w:tcPr>
                  <w:tcW w:type="dxa" w:w="2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501-1000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1001-3000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3001-5000</w:t>
                  </w:r>
                  <w:r>
                    <w:br/>
                  </w:r>
                  <w:r>
                    <w:rPr>
                      <w:rFonts w:ascii="仿宋_GB2312" w:hAnsi="仿宋_GB2312" w:cs="仿宋_GB2312" w:eastAsia="仿宋_GB2312"/>
                      <w:sz w:val="24"/>
                      <w:color w:val="000000"/>
                    </w:rPr>
                    <w:t>万元</w:t>
                  </w:r>
                </w:p>
              </w:tc>
              <w:tc>
                <w:tcPr>
                  <w:tcW w:type="dxa" w:w="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5001-8000</w:t>
                  </w:r>
                  <w:r>
                    <w:br/>
                  </w:r>
                  <w:r>
                    <w:rPr>
                      <w:rFonts w:ascii="仿宋_GB2312" w:hAnsi="仿宋_GB2312" w:cs="仿宋_GB2312" w:eastAsia="仿宋_GB2312"/>
                      <w:sz w:val="24"/>
                      <w:color w:val="000000"/>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8001-10000</w:t>
                  </w:r>
                  <w:r>
                    <w:br/>
                  </w:r>
                  <w:r>
                    <w:rPr>
                      <w:rFonts w:ascii="仿宋_GB2312" w:hAnsi="仿宋_GB2312" w:cs="仿宋_GB2312" w:eastAsia="仿宋_GB2312"/>
                      <w:sz w:val="24"/>
                      <w:color w:val="000000"/>
                    </w:rPr>
                    <w:t>万元</w:t>
                  </w:r>
                </w:p>
              </w:tc>
              <w:tc>
                <w:tcPr>
                  <w:tcW w:type="dxa" w:w="2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≥10000</w:t>
                  </w:r>
                  <w:r>
                    <w:br/>
                  </w:r>
                  <w:r>
                    <w:rPr>
                      <w:rFonts w:ascii="仿宋_GB2312" w:hAnsi="仿宋_GB2312" w:cs="仿宋_GB2312" w:eastAsia="仿宋_GB2312"/>
                      <w:sz w:val="24"/>
                      <w:color w:val="000000"/>
                    </w:rPr>
                    <w:t>万元</w:t>
                  </w:r>
                </w:p>
              </w:tc>
            </w:tr>
            <w:tr>
              <w:tc>
                <w:tcPr>
                  <w:tcW w:type="dxa" w:w="484"/>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基本费（</w:t>
                  </w:r>
                  <w:r>
                    <w:rPr>
                      <w:rFonts w:ascii="仿宋_GB2312" w:hAnsi="仿宋_GB2312" w:cs="仿宋_GB2312" w:eastAsia="仿宋_GB2312"/>
                      <w:sz w:val="24"/>
                      <w:color w:val="000000"/>
                    </w:rPr>
                    <w:t>‰）</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送审造价</w:t>
                  </w:r>
                </w:p>
              </w:tc>
              <w:tc>
                <w:tcPr>
                  <w:tcW w:type="dxa" w:w="1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2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0.8</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效益收费</w:t>
                  </w:r>
                  <w:r>
                    <w:rPr>
                      <w:rFonts w:ascii="仿宋_GB2312" w:hAnsi="仿宋_GB2312" w:cs="仿宋_GB2312" w:eastAsia="仿宋_GB2312"/>
                      <w:sz w:val="24"/>
                      <w:color w:val="000000"/>
                    </w:rPr>
                    <w:t>(％)</w:t>
                  </w:r>
                </w:p>
              </w:tc>
              <w:tc>
                <w:tcPr>
                  <w:tcW w:type="dxa" w:w="3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工程</w:t>
                  </w:r>
                </w:p>
                <w:p>
                  <w:pPr>
                    <w:pStyle w:val="null3"/>
                    <w:jc w:val="center"/>
                  </w:pPr>
                  <w:r>
                    <w:rPr>
                      <w:rFonts w:ascii="仿宋_GB2312" w:hAnsi="仿宋_GB2312" w:cs="仿宋_GB2312" w:eastAsia="仿宋_GB2312"/>
                      <w:sz w:val="24"/>
                      <w:color w:val="000000"/>
                    </w:rPr>
                    <w:t>结算</w:t>
                  </w:r>
                </w:p>
                <w:p>
                  <w:pPr>
                    <w:pStyle w:val="null3"/>
                    <w:jc w:val="center"/>
                  </w:pPr>
                  <w:r>
                    <w:rPr>
                      <w:rFonts w:ascii="仿宋_GB2312" w:hAnsi="仿宋_GB2312" w:cs="仿宋_GB2312" w:eastAsia="仿宋_GB2312"/>
                      <w:sz w:val="24"/>
                      <w:color w:val="000000"/>
                    </w:rPr>
                    <w:t>审核</w:t>
                  </w:r>
                </w:p>
              </w:tc>
              <w:tc>
                <w:tcPr>
                  <w:tcW w:type="dxa" w:w="2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核减额</w:t>
                  </w:r>
                </w:p>
              </w:tc>
              <w:tc>
                <w:tcPr>
                  <w:tcW w:type="dxa" w:w="1802"/>
                  <w:gridSpan w:val="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r>
            <w:tr>
              <w:tc>
                <w:tcPr>
                  <w:tcW w:type="dxa" w:w="1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备注</w:t>
                  </w:r>
                </w:p>
              </w:tc>
              <w:tc>
                <w:tcPr>
                  <w:tcW w:type="dxa" w:w="2388"/>
                  <w:gridSpan w:val="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p>
                <w:p>
                  <w:pPr>
                    <w:pStyle w:val="null3"/>
                    <w:spacing w:before="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）采用差额定率分档累进计费；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）标段项下子项目单独核算。</w:t>
                  </w:r>
                </w:p>
              </w:tc>
            </w:tr>
          </w:tbl>
          <w:p>
            <w:pPr>
              <w:pStyle w:val="null3"/>
              <w:jc w:val="left"/>
            </w:pPr>
            <w:r>
              <w:rPr>
                <w:rFonts w:ascii="仿宋_GB2312" w:hAnsi="仿宋_GB2312" w:cs="仿宋_GB2312" w:eastAsia="仿宋_GB2312"/>
                <w:sz w:val="28"/>
                <w:b/>
              </w:rPr>
              <w:t>结算</w:t>
            </w:r>
            <w:r>
              <w:rPr>
                <w:rFonts w:ascii="仿宋_GB2312" w:hAnsi="仿宋_GB2312" w:cs="仿宋_GB2312" w:eastAsia="仿宋_GB2312"/>
                <w:sz w:val="28"/>
                <w:b/>
              </w:rPr>
              <w:t>审核评审因素表</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适用于合同包</w:t>
            </w:r>
            <w:r>
              <w:rPr>
                <w:rFonts w:ascii="仿宋_GB2312" w:hAnsi="仿宋_GB2312" w:cs="仿宋_GB2312" w:eastAsia="仿宋_GB2312"/>
                <w:sz w:val="28"/>
                <w:b/>
              </w:rPr>
              <w:t>17、合同包18）</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07"/>
              <w:gridCol w:w="407"/>
              <w:gridCol w:w="369"/>
              <w:gridCol w:w="378"/>
              <w:gridCol w:w="365"/>
              <w:gridCol w:w="383"/>
            </w:tblGrid>
            <w:tr>
              <w:tc>
                <w:tcPr>
                  <w:tcW w:type="dxa" w:w="2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区间</w:t>
                  </w:r>
                </w:p>
              </w:tc>
              <w:tc>
                <w:tcPr>
                  <w:tcW w:type="dxa" w:w="81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送审造价</w:t>
                  </w:r>
                </w:p>
              </w:tc>
              <w:tc>
                <w:tcPr>
                  <w:tcW w:type="dxa" w:w="7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最高收费标准</w:t>
                  </w:r>
                </w:p>
              </w:tc>
              <w:tc>
                <w:tcPr>
                  <w:tcW w:type="dxa" w:w="7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投标报价</w:t>
                  </w:r>
                </w:p>
              </w:tc>
            </w:tr>
            <w:tr>
              <w:tc>
                <w:tcPr>
                  <w:tcW w:type="dxa" w:w="240"/>
                  <w:vMerge/>
                  <w:tcBorders>
                    <w:top w:val="single" w:color="000000" w:sz="4"/>
                    <w:left w:val="single" w:color="000000" w:sz="4"/>
                    <w:bottom w:val="single" w:color="000000" w:sz="4"/>
                    <w:right w:val="single" w:color="000000" w:sz="4"/>
                  </w:tcBorders>
                </w:tcPr>
                <w:p/>
              </w:tc>
              <w:tc>
                <w:tcPr>
                  <w:tcW w:type="dxa" w:w="814"/>
                  <w:gridSpan w:val="2"/>
                  <w:vMerge/>
                  <w:tcBorders>
                    <w:top w:val="singl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基本费（</w:t>
                  </w:r>
                  <w:r>
                    <w:rPr>
                      <w:rFonts w:ascii="仿宋_GB2312" w:hAnsi="仿宋_GB2312" w:cs="仿宋_GB2312" w:eastAsia="仿宋_GB2312"/>
                      <w:sz w:val="24"/>
                    </w:rPr>
                    <w:t>‰）</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效益收费（</w:t>
                  </w: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500万元以下</w:t>
                  </w:r>
                </w:p>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500万元）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500万元至1000万元（含1000万元）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1000万元至3000万元（含3000万元）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3000万元至5000万元（含5000万元）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5000万元至8000万元（含8000万元）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8000万元至10000万元（含10000万元）</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10000万元以上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378"/>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收费最大额（元）</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6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9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）采用差额定率分档累进计费。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）各区间投标报价收费标准不得超过最高收费标准。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）收费最大额为以该标段项下子项目分别计算〔</w:t>
                  </w:r>
                  <w:r>
                    <w:rPr>
                      <w:rFonts w:ascii="仿宋_GB2312" w:hAnsi="仿宋_GB2312" w:cs="仿宋_GB2312" w:eastAsia="仿宋_GB2312"/>
                      <w:sz w:val="24"/>
                      <w:color w:val="000000"/>
                    </w:rPr>
                    <w:t>效益收费按</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%的核减率计，且2%（含）以内的核减额不计效益收费</w:t>
                  </w:r>
                  <w:r>
                    <w:rPr>
                      <w:rFonts w:ascii="仿宋_GB2312" w:hAnsi="仿宋_GB2312" w:cs="仿宋_GB2312" w:eastAsia="仿宋_GB2312"/>
                      <w:sz w:val="24"/>
                    </w:rPr>
                    <w:t>〕</w:t>
                  </w:r>
                  <w:r>
                    <w:rPr>
                      <w:rFonts w:ascii="仿宋_GB2312" w:hAnsi="仿宋_GB2312" w:cs="仿宋_GB2312" w:eastAsia="仿宋_GB2312"/>
                      <w:sz w:val="24"/>
                    </w:rPr>
                    <w:t>收费额后累计所得。</w:t>
                  </w:r>
                </w:p>
                <w:p>
                  <w:pPr>
                    <w:pStyle w:val="null3"/>
                    <w:jc w:val="left"/>
                  </w:pPr>
                  <w:r>
                    <w:rPr>
                      <w:rFonts w:ascii="仿宋_GB2312" w:hAnsi="仿宋_GB2312" w:cs="仿宋_GB2312" w:eastAsia="仿宋_GB2312"/>
                      <w:sz w:val="24"/>
                      <w:b/>
                    </w:rPr>
                    <w:t>报价得分按下列公式计算：</w:t>
                  </w:r>
                </w:p>
                <w:p>
                  <w:pPr>
                    <w:pStyle w:val="null3"/>
                    <w:jc w:val="left"/>
                  </w:pPr>
                  <w:r>
                    <w:rPr>
                      <w:rFonts w:ascii="仿宋_GB2312" w:hAnsi="仿宋_GB2312" w:cs="仿宋_GB2312" w:eastAsia="仿宋_GB2312"/>
                      <w:sz w:val="24"/>
                    </w:rPr>
                    <w:t>投标报价得分</w:t>
                  </w:r>
                  <w:r>
                    <w:rPr>
                      <w:rFonts w:ascii="仿宋_GB2312" w:hAnsi="仿宋_GB2312" w:cs="仿宋_GB2312" w:eastAsia="仿宋_GB2312"/>
                      <w:sz w:val="24"/>
                    </w:rPr>
                    <w:t>=E/B*分值</w:t>
                  </w:r>
                </w:p>
                <w:p>
                  <w:pPr>
                    <w:pStyle w:val="null3"/>
                    <w:ind w:firstLine="480"/>
                    <w:jc w:val="left"/>
                  </w:pPr>
                  <w:r>
                    <w:rPr>
                      <w:rFonts w:ascii="仿宋_GB2312" w:hAnsi="仿宋_GB2312" w:cs="仿宋_GB2312" w:eastAsia="仿宋_GB2312"/>
                      <w:sz w:val="24"/>
                    </w:rPr>
                    <w:t>其中：</w:t>
                  </w:r>
                  <w:r>
                    <w:rPr>
                      <w:rFonts w:ascii="仿宋_GB2312" w:hAnsi="仿宋_GB2312" w:cs="仿宋_GB2312" w:eastAsia="仿宋_GB2312"/>
                      <w:sz w:val="24"/>
                    </w:rPr>
                    <w:t>E为所有投标报价收费最大额报价中的最小值（基准价），B为本投标报价最大收费额。</w:t>
                  </w:r>
                </w:p>
              </w:tc>
            </w:tr>
          </w:tbl>
          <w:p>
            <w:pPr>
              <w:pStyle w:val="null3"/>
              <w:jc w:val="center"/>
            </w:pPr>
            <w:r>
              <w:rPr>
                <w:rFonts w:ascii="仿宋_GB2312" w:hAnsi="仿宋_GB2312" w:cs="仿宋_GB2312" w:eastAsia="仿宋_GB2312"/>
                <w:sz w:val="28"/>
                <w:b/>
              </w:rPr>
              <w:t>八、以上标包划分，投标人可根据自身情况选择对应所投的一个或多个包。投多个包的，须分别制作响应文件、分别报价。</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 xml:space="preserve"> 自本合同签订之日起至完成合同内全部委托内容止。</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自本合同签订之日起至完成合同内全部委托内容止。</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 xml:space="preserve"> 自本合同签订之日起至完成合同内全部委托内容止。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验收须以合同、招标文件及投标文件、澄清及国家相应的标准、规范等为依据。</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验收须以合同、招标文件及投标文件、澄清及国家相应的标准、规范等为依据。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采购包21：</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采购包22：</w:t>
      </w:r>
      <w:r>
        <w:rPr>
          <w:rFonts w:ascii="仿宋_GB2312" w:hAnsi="仿宋_GB2312" w:cs="仿宋_GB2312" w:eastAsia="仿宋_GB2312"/>
        </w:rPr>
        <w:t xml:space="preserve"> 付款条件说明： </w:t>
      </w:r>
      <w:r>
        <w:rPr>
          <w:rFonts w:ascii="仿宋_GB2312" w:hAnsi="仿宋_GB2312" w:cs="仿宋_GB2312" w:eastAsia="仿宋_GB2312"/>
        </w:rPr>
        <w:t>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采购包23：</w:t>
      </w:r>
      <w:r>
        <w:rPr>
          <w:rFonts w:ascii="仿宋_GB2312" w:hAnsi="仿宋_GB2312" w:cs="仿宋_GB2312" w:eastAsia="仿宋_GB2312"/>
        </w:rPr>
        <w:t xml:space="preserve"> 付款条件说明： </w:t>
      </w:r>
      <w:r>
        <w:rPr>
          <w:rFonts w:ascii="仿宋_GB2312" w:hAnsi="仿宋_GB2312" w:cs="仿宋_GB2312" w:eastAsia="仿宋_GB2312"/>
        </w:rPr>
        <w:t xml:space="preserve"> 乙方出具合同包所有项目的正式审核报告后，甲方支付基本审核费；完成合同内全部项目审查后，甲方支付剩余咨询服务费。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本合同履行若发生争议，双方应协商解决，协商不成，一致同意向西安仲裁委员会申请仲裁。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2.投标文件格式中所附“投标报价明细表”，投标人应根据自己所投标包选择对应的报价明细表进行填写，且仅保留所投标包的报价明细表。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资格证明文件(1).docx 开标一览表 服务内容及服务邀请应答表 中小企业声明函 合同条款偏离表.docx 商务应答表 政府采购供应商拒绝政府采购领域商业贿赂承诺书.docx 投标函 残疾人福利性单位声明函 服务方案 标的清单 投标文件封面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分别提供完整的工作大纲、有明确的工作目标、工作范围，合理可行的工作流程，详细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2.拟派往本项目其他人员:具有注册一级注册造价工程师执业资格的人数不少于3人时，得基本分5分，在此基础上每增加1名具有一级注册造价工程师执业资格的人员加1分，每增加 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3.业绩（6分）：项目负责人具有担任2022年1月1日至今（以合同签订时间为准）类似项目的业绩，每提供一份得3分，本项最高得6分。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 业绩</w:t>
            </w:r>
          </w:p>
        </w:tc>
        <w:tc>
          <w:tcPr>
            <w:tcW w:type="dxa" w:w="2492"/>
          </w:tcPr>
          <w:p>
            <w:pPr>
              <w:pStyle w:val="null3"/>
            </w:pPr>
            <w:r>
              <w:rPr>
                <w:rFonts w:ascii="仿宋_GB2312" w:hAnsi="仿宋_GB2312" w:cs="仿宋_GB2312" w:eastAsia="仿宋_GB2312"/>
              </w:rPr>
              <w:t>投标人近三年（2022年1月1日至投标文件递交截止时间）完成的类似项目造价业绩（至少包括估算、概算、预算、结算中的任一项），（时间以合同签订时间为准），有1项得2分，最高得6分。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