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版本号：HXGJXM2025-ZC-DY102320260306001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2026年院本部病理冰冻外送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HXGJXM2025-ZC-DY1023</w:t>
      </w:r>
      <w:r>
        <w:br/>
      </w:r>
      <w:r>
        <w:br/>
      </w:r>
      <w:r>
        <w:br/>
      </w:r>
    </w:p>
    <w:p>
      <w:pPr>
        <w:pStyle w:val="null3"/>
        <w:jc w:val="center"/>
        <w:outlineLvl w:val="5"/>
      </w:pPr>
      <w:r>
        <w:rPr>
          <w:rFonts w:ascii="仿宋_GB2312" w:hAnsi="仿宋_GB2312" w:cs="仿宋_GB2312" w:eastAsia="仿宋_GB2312"/>
          <w:sz w:val="15"/>
          <w:b/>
        </w:rPr>
        <w:t>西安市中医医院</w:t>
      </w:r>
    </w:p>
    <w:p>
      <w:pPr>
        <w:pStyle w:val="null3"/>
        <w:jc w:val="center"/>
        <w:outlineLvl w:val="5"/>
      </w:pPr>
      <w:r>
        <w:rPr>
          <w:rFonts w:ascii="仿宋_GB2312" w:hAnsi="仿宋_GB2312" w:cs="仿宋_GB2312" w:eastAsia="仿宋_GB2312"/>
          <w:sz w:val="15"/>
          <w:b/>
        </w:rPr>
        <w:t>华夏国际项目管理（西安）有限公司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2026年院本部病理冰冻外送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HXGJXM2025-ZC-DY1023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2026年院本部病理冰冻外送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2026年院本部病理冰冻外送，具体内容详见单一来源采购文件第三章。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谈判截止日前近三个月的社会保障资金凭证（法定代表人直接参加谈判，须提供法定代表人身份证明）。</w:t>
      </w:r>
    </w:p>
    <w:p>
      <w:pPr>
        <w:pStyle w:val="null3"/>
      </w:pPr>
      <w:r>
        <w:rPr>
          <w:rFonts w:ascii="仿宋_GB2312" w:hAnsi="仿宋_GB2312" w:cs="仿宋_GB2312" w:eastAsia="仿宋_GB2312"/>
        </w:rPr>
        <w:t>2、资质证明：提供至少两名具备副主任医师及以上职称的病理诊断医师资质证明。</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王攀宏、张宝育、康敏茹、张艳萍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下浮20%执行。 招标代理服务费账户 户名：华夏国际项目管理（西安）有限公司 开户行：中国光大银行股份有限公司西安科技六路支行 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为了达到医疗资源共享的效果，解决我院在病理方面因人员和设备方面的限制，为方便我院患者的医疗检查和诊治，需要在病理方面部分项目和其他医疗机构展开合作。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病理冰冻外送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标的名称：病理冰冻外送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服务内容</w:t>
            </w:r>
            <w:r>
              <w:rPr>
                <w:rFonts w:ascii="仿宋_GB2312" w:hAnsi="仿宋_GB2312" w:cs="仿宋_GB2312" w:eastAsia="仿宋_GB2312"/>
                <w:sz w:val="21"/>
              </w:rPr>
              <w:t>：病理冰冻切片及免疫组织化学染色诊断报告、疑难病理报告的会诊和报告签发。</w:t>
            </w:r>
          </w:p>
          <w:p>
            <w:pPr>
              <w:pStyle w:val="null3"/>
            </w:pPr>
            <w:r>
              <w:rPr>
                <w:rFonts w:ascii="仿宋_GB2312" w:hAnsi="仿宋_GB2312" w:cs="仿宋_GB2312" w:eastAsia="仿宋_GB2312"/>
              </w:rPr>
              <w:t>2.</w:t>
            </w:r>
            <w:r>
              <w:rPr>
                <w:rFonts w:ascii="仿宋_GB2312" w:hAnsi="仿宋_GB2312" w:cs="仿宋_GB2312" w:eastAsia="仿宋_GB2312"/>
                <w:sz w:val="21"/>
                <w:b/>
              </w:rPr>
              <w:t>技术要求</w:t>
            </w:r>
            <w:r>
              <w:rPr>
                <w:rFonts w:ascii="仿宋_GB2312" w:hAnsi="仿宋_GB2312" w:cs="仿宋_GB2312" w:eastAsia="仿宋_GB2312"/>
                <w:sz w:val="21"/>
              </w:rPr>
              <w:t>：术中冰冻病理报告符合率需在</w:t>
            </w:r>
            <w:r>
              <w:rPr>
                <w:rFonts w:ascii="仿宋_GB2312" w:hAnsi="仿宋_GB2312" w:cs="仿宋_GB2312" w:eastAsia="仿宋_GB2312"/>
                <w:sz w:val="21"/>
              </w:rPr>
              <w:t>95%以上。</w:t>
            </w:r>
          </w:p>
          <w:p>
            <w:pPr>
              <w:pStyle w:val="null3"/>
            </w:pPr>
            <w:r>
              <w:rPr>
                <w:rFonts w:ascii="仿宋_GB2312" w:hAnsi="仿宋_GB2312" w:cs="仿宋_GB2312" w:eastAsia="仿宋_GB2312"/>
              </w:rPr>
              <w:t>3.</w:t>
            </w:r>
            <w:r>
              <w:rPr>
                <w:rFonts w:ascii="仿宋_GB2312" w:hAnsi="仿宋_GB2312" w:cs="仿宋_GB2312" w:eastAsia="仿宋_GB2312"/>
                <w:b/>
              </w:rPr>
              <w:t>服务要求：</w:t>
            </w:r>
          </w:p>
          <w:p>
            <w:pPr>
              <w:pStyle w:val="null3"/>
              <w:jc w:val="both"/>
            </w:pPr>
            <w:r>
              <w:rPr>
                <w:rFonts w:ascii="仿宋_GB2312" w:hAnsi="仿宋_GB2312" w:cs="仿宋_GB2312" w:eastAsia="仿宋_GB2312"/>
              </w:rPr>
              <w:t>（1）免疫组化检测、疑难病理会诊、冰冻组织切片检查与诊断、局部切除组织检查与诊断、局部切除组织检查与诊断蜡块加收、病理大体摄影、显微摄影及冰冻病理标本的保管、建档，送冰冻的标本进行再次的病理检查。</w:t>
            </w:r>
          </w:p>
          <w:p>
            <w:pPr>
              <w:pStyle w:val="null3"/>
              <w:jc w:val="both"/>
            </w:pPr>
            <w:r>
              <w:rPr>
                <w:rFonts w:ascii="仿宋_GB2312" w:hAnsi="仿宋_GB2312" w:cs="仿宋_GB2312" w:eastAsia="仿宋_GB2312"/>
              </w:rPr>
              <w:t>（2）疑难病理标本需作出最终诊断意见，应严格保证病理诊断的准确性，一般病理报告小于等于4个工作日出具报告，冰冻标本应在送检标本到达1小时内出具报告。</w:t>
            </w:r>
          </w:p>
          <w:p>
            <w:pPr>
              <w:pStyle w:val="null3"/>
              <w:jc w:val="both"/>
            </w:pPr>
            <w:r>
              <w:rPr>
                <w:rFonts w:ascii="仿宋_GB2312" w:hAnsi="仿宋_GB2312" w:cs="仿宋_GB2312" w:eastAsia="仿宋_GB2312"/>
              </w:rPr>
              <w:t>（3）对我科提出的与业务有关的咨询，应及时、详细、准确的做出解释。病理报告纸质版发回我院临床科室，同时，根据我院病理科要求提供病理报告（电子版或纸质版），必要时允许我科医师查阅学习相关切片。</w:t>
            </w:r>
          </w:p>
          <w:p>
            <w:pPr>
              <w:pStyle w:val="null3"/>
            </w:pPr>
            <w:r>
              <w:rPr>
                <w:rFonts w:ascii="仿宋_GB2312" w:hAnsi="仿宋_GB2312" w:cs="仿宋_GB2312" w:eastAsia="仿宋_GB2312"/>
                <w:sz w:val="21"/>
              </w:rPr>
              <w:t>（4）如有特殊原因，报告无法按约定的时间发出，应及时通知我院。</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需提供至少两名具备副主任医师及以上职称的病理诊断医师资质证明。</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自合同生效之日起一年。如在本合同服务期限内实际应付款项总额已达项目结算总金额上限的，则本合同自应付总额达到项目预算金额上限之日止。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每季度结算上一季度检测费用。我院每季度首月10号前与投标方核对上一季度检测费用及疑难病理会诊费。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每季度结算上一季度检测费用。我院每季度首月10号前与投标方核对上一季度检测费用及疑难病理会诊费。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每季度结算上一季度检测费用。我院每季度首月10号前与投标方核对上一季度检测费用及疑难病理会诊费。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每季度结算上一季度检测费用。我院每季度首月10号前与投标方核对上一季度检测费用及疑难病理会诊费。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 1.冰冻切片诊断符合率≥95%（以术后石蜡切片为金标准）。 2.免疫组化染色质量合格率≥98%（符合《临床技术操作规范-病理学分册》标准）。 3.报告差错率≤0.5%（包括诊断错误、信息录入错误等）。 4.标本交接差错率为0。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（一）质量责任 1.诊断错误责任：因乙方诊断错误导致医疗纠纷或患者损害，经第三方医疗鉴定机构认定后，乙方需承担相应赔偿责任及法律责任，并支付合同总金额10%-20%的违约金。造成重大医疗事故的，甲方有权单方解除合同。 2.报告延误责任：冰冻报告超过1小时未出具，每延迟10分钟扣减当次服务费用的20%；常规病理报告超过4个工作日未出具，扣减当次服务费用的10%。累计延误次数达5次，甲方有权终止合同。 3.因乙方对标本处理及保管不当，导致标本丢失、污染或无法诊断，需承担重新取材或检查的全部费用，并支付当次服务费用5倍的违约金，并承担相关法律责任。 （二）服务中断责任 1.乙方无故中断服务超过24小时，需按日支付合同总金额1%的违约金；中断超过72小时，甲方有权解除合同并要求赔偿损失。 2.因乙方原因导致服务无法正常开展，影响临床诊疗工作，每次扣减当月服务费用的5%。 （三）信息安全管理责任 1.乙方泄露患者隐私信息或违反信息保密规定，每次支付违约金5000-10000元，造成严重后果的需承担法律责任。 2.因乙方系统故障导致报告无法及时传输，参照报告延误责任处理。 （四）其他违约责任 1.乙方未按约定提交质量报告或统计报表，每次扣减1000元。 2.乙方人员资质不符合要求或擅自更换主要技术人员，需在7日内整改，否则按日支付违约金2000元。 3.除合同另有约定外，如乙方提供的服务不符合合同约定的，需限期整改，整改后仍不达标的，甲方有权终止合同。 4.本合同项下乙方应当承担的违约金及应当扣减乙方的款项，甲方有权从任一笔应付款项中直接扣除。 （五）免责条款 因不可抗力（如自然灾害、重大公共卫生事件等）导致无法履行合同，双方互不承担违约责任，但应及时通知对方并采取补救措施。</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（一）进度要求 1.冰冻病理报告：标本送达后1小时内出具（如遇疑难病例需会诊，应立刻通知临床科室并在2小时内完成并出具报告）。 2.免疫组化报告：自标本送达后4个工作日内出具。 3.疑难病理会诊：收到会诊申请后48小时内完成。 4.部分病人因紧急特殊情况需要提前出具报告的，临床医师与投标方提前沟通，尽量满足临床需求。 （二）成果交付要求 1.所有病理报告需采用标准格式，包含患者基本信息、标本信息、诊断意见、诊断医师签名及日期。 2.病理报告需及时发回我院病理科备份。 （三）付款条件说明： 1.每季度结算上一季度检测费用。我院每季度首月10号前与投标方核对上一季度检测费用及疑难病理会诊费。投标方需在15号前和我院核对票目，并且将发票、病人费用明细等资料送到我院。双方核对账目无误，乙方按照确定金额提供合法有效发票后，甲方向乙方支付款项到乙方指定账户中。乙方未提供发票的，甲方有权暂不付款且不承担逾期付款违约责任。 2.免疫组化检测、疑难病理会诊、冰冻组织切片检查与诊断、局部切除组织检查与诊断、局部切除组织检查与诊断蜡块加收、病理大体摄影、显微摄影的检测费用由我院负责收取，严格执行陜西省物价局三级医院收费标准，每次记费投标方应通知我院收取相关费用，不得超过现行医保收费标准超标准收费。乙方未通知甲方收取相关费用的，甲方有权不向乙方支付相应费用，乙方对此无异议。 3.免疫组化检测、疑难病理会诊、冰冻组织切片检查与诊断、局部切除组织检查与诊断、局部切除组织检查与诊断蜡块加收、病理大体摄影、显微摄影的送检我院每份标本费用以陜西省物价局三级医院收费标准为基数，按照约定折扣与投标方结算，作为投标方的检测成本等开支返给投标方。每份标本最高投标限价折扣为81%，响应单位谈判折扣不得超过最高投标限价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明（附开户许可证或开户备案证明或基本账户信息）,以上形式的证明资料提供任何一种即可。 3、提供投标截止日前一年内已缴纳的至少一个月的纳税证明或完税证明,依法免税的单位应提供相关证明材料。 4、提供投标截止日前一年内已缴存的至少一个月的社会保障资金缴存单据或社保机构开具的社会保险参保缴费情况证明,依法不需要缴纳社会保障资金的单位应提供相关证明材料。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法定代表人授权书，附法定代表人、被授权人身份证复印件及被授权人谈判截止日前近三个月的社会保障资金凭证（法定代表人直接参加谈判，须提供法定代表人身份证明）。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提供至少两名具备副主任医师及以上职称的病理诊断医师资质证明。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报价一览表.docx 谈判方案说明.docx 中小企业声明函 报价表 供应商承诺书.docx 资格证明文件.docx 响应文件封面 残疾人福利性单位声明函 标的清单 其他资料.docx 商务及合同主要条款响应偏离表.docx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报价一览表.docx 谈判方案说明.docx 中小企业声明函 报价表 供应商承诺书.docx 资格证明文件.docx 响应文件封面 残疾人福利性单位声明函 标的清单 其他资料.docx 商务及合同主要条款响应偏离表.docx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符合单一来源采购文件要求签署盖章</w:t>
            </w:r>
          </w:p>
        </w:tc>
        <w:tc>
          <w:tcPr>
            <w:tcW w:type="dxa" w:w="1661"/>
          </w:tcPr>
          <w:p>
            <w:pPr>
              <w:pStyle w:val="null3"/>
            </w:pPr>
            <w:r>
              <w:rPr>
                <w:rFonts w:ascii="仿宋_GB2312" w:hAnsi="仿宋_GB2312" w:cs="仿宋_GB2312" w:eastAsia="仿宋_GB2312"/>
              </w:rPr>
              <w:t>报价一览表.docx 谈判方案说明.docx 中小企业声明函 报价表 供应商承诺书.docx 资格证明文件.docx 响应文件封面 残疾人福利性单位声明函 标的清单 其他资料.docx 商务及合同主要条款响应偏离表.docx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响应文件的格式</w:t>
            </w:r>
          </w:p>
        </w:tc>
        <w:tc>
          <w:tcPr>
            <w:tcW w:type="dxa" w:w="3322"/>
          </w:tcPr>
          <w:p>
            <w:pPr>
              <w:pStyle w:val="null3"/>
            </w:pPr>
            <w:r>
              <w:rPr>
                <w:rFonts w:ascii="仿宋_GB2312" w:hAnsi="仿宋_GB2312" w:cs="仿宋_GB2312" w:eastAsia="仿宋_GB2312"/>
              </w:rPr>
              <w:t>符合单一来源采购文件相关格式要求</w:t>
            </w:r>
          </w:p>
        </w:tc>
        <w:tc>
          <w:tcPr>
            <w:tcW w:type="dxa" w:w="1661"/>
          </w:tcPr>
          <w:p>
            <w:pPr>
              <w:pStyle w:val="null3"/>
            </w:pPr>
            <w:r>
              <w:rPr>
                <w:rFonts w:ascii="仿宋_GB2312" w:hAnsi="仿宋_GB2312" w:cs="仿宋_GB2312" w:eastAsia="仿宋_GB2312"/>
              </w:rPr>
              <w:t>报价一览表.docx 谈判方案说明.docx 中小企业声明函 报价表 供应商承诺书.docx 资格证明文件.docx 响应文件封面 残疾人福利性单位声明函 标的清单 其他资料.docx 商务及合同主要条款响应偏离表.docx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按单一来源采购文件要求报价，不得提交选择性报价，且每轮报价不超过采购预算金额或最高限价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对单一来源采购文件响应程度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谈判方案说明.docx 中小企业声明函 报价表 供应商承诺书.docx 资格证明文件.docx 响应文件封面 残疾人福利性单位声明函 标的清单 其他资料.docx 商务及合同主要条款响应偏离表.docx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满足单一来源采购文件中要求的服务期限</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应满足谈判文件中的要求（详见：供应商承诺书）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未被列入黑名单</w:t>
            </w:r>
          </w:p>
        </w:tc>
        <w:tc>
          <w:tcPr>
            <w:tcW w:type="dxa" w:w="3322"/>
          </w:tcPr>
          <w:p>
            <w:pPr>
              <w:pStyle w:val="null3"/>
            </w:pPr>
            <w:r>
              <w:rPr>
                <w:rFonts w:ascii="仿宋_GB2312" w:hAnsi="仿宋_GB2312" w:cs="仿宋_GB2312" w:eastAsia="仿宋_GB2312"/>
              </w:rPr>
              <w:t>应满足谈判文件中的要求（详见：供应商未被列入黑名单承诺书）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满足单一来源采购文件中的规定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详见附件：商务及合同主要条款响应偏离表.docx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