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版本号：SXWZ2026ZB-SGLJ-01320260310001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车辆驾驶服务外包项目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SXWZ2026ZB-SGLJ-013</w:t>
      </w:r>
      <w:r>
        <w:br/>
      </w:r>
      <w:r>
        <w:br/>
      </w:r>
      <w:r>
        <w:br/>
      </w:r>
    </w:p>
    <w:p>
      <w:pPr>
        <w:pStyle w:val="null3"/>
        <w:jc w:val="center"/>
        <w:outlineLvl w:val="2"/>
      </w:pPr>
      <w:r>
        <w:rPr>
          <w:rFonts w:ascii="仿宋_GB2312" w:hAnsi="仿宋_GB2312" w:cs="仿宋_GB2312" w:eastAsia="仿宋_GB2312"/>
          <w:sz w:val="28"/>
          <w:b/>
        </w:rPr>
        <w:t>西安市市场监督管理局</w:t>
      </w:r>
    </w:p>
    <w:p>
      <w:pPr>
        <w:pStyle w:val="null3"/>
        <w:jc w:val="center"/>
        <w:outlineLvl w:val="2"/>
      </w:pPr>
      <w:r>
        <w:rPr>
          <w:rFonts w:ascii="仿宋_GB2312" w:hAnsi="仿宋_GB2312" w:cs="仿宋_GB2312" w:eastAsia="仿宋_GB2312"/>
          <w:sz w:val="28"/>
          <w:b/>
        </w:rPr>
        <w:t>陕西万泽招标有限公司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陕西万泽招标有限公司</w:t>
      </w:r>
      <w:r>
        <w:rPr>
          <w:rFonts w:ascii="仿宋_GB2312" w:hAnsi="仿宋_GB2312" w:cs="仿宋_GB2312" w:eastAsia="仿宋_GB2312"/>
        </w:rPr>
        <w:t>（以下简称“代理机构”）受</w:t>
      </w:r>
      <w:r>
        <w:rPr>
          <w:rFonts w:ascii="仿宋_GB2312" w:hAnsi="仿宋_GB2312" w:cs="仿宋_GB2312" w:eastAsia="仿宋_GB2312"/>
        </w:rPr>
        <w:t>西安市市场监督管理局</w:t>
      </w:r>
      <w:r>
        <w:rPr>
          <w:rFonts w:ascii="仿宋_GB2312" w:hAnsi="仿宋_GB2312" w:cs="仿宋_GB2312" w:eastAsia="仿宋_GB2312"/>
        </w:rPr>
        <w:t>委托，拟对</w:t>
      </w:r>
      <w:r>
        <w:rPr>
          <w:rFonts w:ascii="仿宋_GB2312" w:hAnsi="仿宋_GB2312" w:cs="仿宋_GB2312" w:eastAsia="仿宋_GB2312"/>
        </w:rPr>
        <w:t>车辆驾驶服务外包项目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SXWZ2026ZB-SGLJ-013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车辆驾驶服务外包项目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车辆驾驶服务外包项目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采购包1（车辆驾驶服务外包项目）：属于专门面向中小企业采购。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社会保障资金缴纳证明：供应商提供2025年10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3、税收缴纳证明：供应商提供2025年10月至今已缴纳的至少一个月纳税证明或完税证明，依法免税的单位应提供相关证明材料（以税款所属期为准）；</w:t>
      </w:r>
    </w:p>
    <w:p>
      <w:pPr>
        <w:pStyle w:val="null3"/>
      </w:pPr>
      <w:r>
        <w:rPr>
          <w:rFonts w:ascii="仿宋_GB2312" w:hAnsi="仿宋_GB2312" w:cs="仿宋_GB2312" w:eastAsia="仿宋_GB2312"/>
        </w:rPr>
        <w:t>4、财务状况证明：提供经会计师事务所审计的2024年或2025年财务审计报告（审计报告应当赋码，可通过注册会计师行业统一监管平台(http://acc.mof.gov.cn)进行查验）或在开标日期前六个月内其基本开户银行出具的资信证明；</w:t>
      </w:r>
    </w:p>
    <w:p>
      <w:pPr>
        <w:pStyle w:val="null3"/>
      </w:pPr>
      <w:r>
        <w:rPr>
          <w:rFonts w:ascii="仿宋_GB2312" w:hAnsi="仿宋_GB2312" w:cs="仿宋_GB2312" w:eastAsia="仿宋_GB2312"/>
        </w:rPr>
        <w:t>5、书面声明：供应商应出具参加本次政府采购活动前3年内在经营活动中没有重大违法违纪，以及未被列入失信被执行人、重大税收违法案件当事人名单、政府采购严重违法失信行为记录名单的书面声明；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6、授权书：非法定代表人参加投标，须提供法定代表人授权委托书及被授权人身份证（授权代表参与投标的，提供授权代表开标前三个月内至少一个月的社会保险参保缴费情况证明）；法定代表人参加投标时,须提供法定代表人身份证明书；</w:t>
      </w:r>
    </w:p>
    <w:p>
      <w:pPr>
        <w:pStyle w:val="null3"/>
      </w:pPr>
      <w:r>
        <w:rPr>
          <w:rFonts w:ascii="仿宋_GB2312" w:hAnsi="仿宋_GB2312" w:cs="仿宋_GB2312" w:eastAsia="仿宋_GB2312"/>
        </w:rPr>
        <w:t>7、中小企业声明函：本项目专门面向中小企业，供应商须提供中小企业声明函。</w:t>
      </w:r>
    </w:p>
    <w:p>
      <w:pPr>
        <w:pStyle w:val="null3"/>
      </w:pPr>
      <w:r>
        <w:rPr>
          <w:rFonts w:ascii="仿宋_GB2312" w:hAnsi="仿宋_GB2312" w:cs="仿宋_GB2312" w:eastAsia="仿宋_GB2312"/>
        </w:rPr>
        <w:t>8、非联合体声明：本项目不接受联合体磋商。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凤城八路109号2号楼五层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郑老师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029-67098835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陕西万泽招标有限公司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西安市高新区唐延路旺座现代城C座25楼2502室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张刘艳 郝思思 张航波 薛毅凡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029-88319689-8006/8007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采购包1：1,071,489.60元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代理服务费收费标准：以本采购项目成交价为基数，参照（计价格[2002]1980号）文件规定的标准收费，由成交供应商在领取成交通知书时向招标代理机构交纳代理服务费，不足3000元的，按3000元计取.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西安市市场监督管理局</w:t>
      </w:r>
      <w:r>
        <w:rPr>
          <w:rFonts w:ascii="仿宋_GB2312" w:hAnsi="仿宋_GB2312" w:cs="仿宋_GB2312" w:eastAsia="仿宋_GB2312"/>
        </w:rPr>
        <w:t>和</w:t>
      </w:r>
      <w:r>
        <w:rPr>
          <w:rFonts w:ascii="仿宋_GB2312" w:hAnsi="仿宋_GB2312" w:cs="仿宋_GB2312" w:eastAsia="仿宋_GB2312"/>
        </w:rPr>
        <w:t>陕西万泽招标有限公司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陕西万泽招标有限公司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陕西万泽招标有限公司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符合采购文件、响应文件和合同文件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联系人：张航波 薛毅凡 张刘艳</w:t>
      </w:r>
    </w:p>
    <w:p>
      <w:pPr>
        <w:pStyle w:val="null3"/>
      </w:pPr>
      <w:r>
        <w:rPr>
          <w:rFonts w:ascii="仿宋_GB2312" w:hAnsi="仿宋_GB2312" w:cs="仿宋_GB2312" w:eastAsia="仿宋_GB2312"/>
        </w:rPr>
        <w:t>联系电话：029-88319689-8006/8007</w:t>
      </w:r>
    </w:p>
    <w:p>
      <w:pPr>
        <w:pStyle w:val="null3"/>
      </w:pPr>
      <w:r>
        <w:rPr>
          <w:rFonts w:ascii="仿宋_GB2312" w:hAnsi="仿宋_GB2312" w:cs="仿宋_GB2312" w:eastAsia="仿宋_GB2312"/>
        </w:rPr>
        <w:t>地址：西安市高新区旺座现代城C座2502室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车辆驾驶服务外包项目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1,071,489.60</w:t>
      </w:r>
    </w:p>
    <w:p>
      <w:pPr>
        <w:pStyle w:val="null3"/>
      </w:pPr>
      <w:r>
        <w:rPr>
          <w:rFonts w:ascii="仿宋_GB2312" w:hAnsi="仿宋_GB2312" w:cs="仿宋_GB2312" w:eastAsia="仿宋_GB2312"/>
        </w:rPr>
        <w:t>采购包最高限价（元）: 1,071,489.60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车辆驾驶服务外包项目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1,071,489.60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标的名称：车辆驾驶服务外包项目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rPr>
              <w:t>一、商务条款</w:t>
            </w:r>
          </w:p>
          <w:p>
            <w:pPr>
              <w:pStyle w:val="null3"/>
              <w:ind w:firstLine="496"/>
              <w:jc w:val="left"/>
            </w:pPr>
            <w:r>
              <w:rPr>
                <w:rFonts w:ascii="仿宋_GB2312" w:hAnsi="仿宋_GB2312" w:cs="仿宋_GB2312" w:eastAsia="仿宋_GB2312"/>
                <w:sz w:val="24"/>
              </w:rPr>
              <w:t>1.服务条款：外包项目不允许分包、转包，否则采购人有权终止合同。</w:t>
            </w:r>
          </w:p>
          <w:p>
            <w:pPr>
              <w:pStyle w:val="null3"/>
              <w:ind w:firstLine="496"/>
              <w:jc w:val="left"/>
            </w:pPr>
            <w:r>
              <w:rPr>
                <w:rFonts w:ascii="仿宋_GB2312" w:hAnsi="仿宋_GB2312" w:cs="仿宋_GB2312" w:eastAsia="仿宋_GB2312"/>
                <w:sz w:val="24"/>
              </w:rPr>
              <w:t>2.服务期：2026年</w:t>
            </w:r>
            <w:r>
              <w:rPr>
                <w:rFonts w:ascii="仿宋_GB2312" w:hAnsi="仿宋_GB2312" w:cs="仿宋_GB2312" w:eastAsia="仿宋_GB2312"/>
                <w:sz w:val="24"/>
              </w:rPr>
              <w:t>4</w:t>
            </w:r>
            <w:r>
              <w:rPr>
                <w:rFonts w:ascii="仿宋_GB2312" w:hAnsi="仿宋_GB2312" w:cs="仿宋_GB2312" w:eastAsia="仿宋_GB2312"/>
                <w:sz w:val="24"/>
              </w:rPr>
              <w:t>月</w:t>
            </w:r>
            <w:r>
              <w:rPr>
                <w:rFonts w:ascii="仿宋_GB2312" w:hAnsi="仿宋_GB2312" w:cs="仿宋_GB2312" w:eastAsia="仿宋_GB2312"/>
                <w:sz w:val="24"/>
              </w:rPr>
              <w:t>1日至2027年</w:t>
            </w:r>
            <w:r>
              <w:rPr>
                <w:rFonts w:ascii="仿宋_GB2312" w:hAnsi="仿宋_GB2312" w:cs="仿宋_GB2312" w:eastAsia="仿宋_GB2312"/>
                <w:sz w:val="24"/>
              </w:rPr>
              <w:t>3</w:t>
            </w:r>
            <w:r>
              <w:rPr>
                <w:rFonts w:ascii="仿宋_GB2312" w:hAnsi="仿宋_GB2312" w:cs="仿宋_GB2312" w:eastAsia="仿宋_GB2312"/>
                <w:sz w:val="24"/>
              </w:rPr>
              <w:t>月</w:t>
            </w:r>
            <w:r>
              <w:rPr>
                <w:rFonts w:ascii="仿宋_GB2312" w:hAnsi="仿宋_GB2312" w:cs="仿宋_GB2312" w:eastAsia="仿宋_GB2312"/>
                <w:sz w:val="24"/>
              </w:rPr>
              <w:t>31</w:t>
            </w:r>
            <w:r>
              <w:rPr>
                <w:rFonts w:ascii="仿宋_GB2312" w:hAnsi="仿宋_GB2312" w:cs="仿宋_GB2312" w:eastAsia="仿宋_GB2312"/>
                <w:sz w:val="24"/>
              </w:rPr>
              <w:t>日。</w:t>
            </w:r>
          </w:p>
          <w:p>
            <w:pPr>
              <w:pStyle w:val="null3"/>
              <w:ind w:firstLine="496"/>
              <w:jc w:val="left"/>
            </w:pPr>
            <w:r>
              <w:rPr>
                <w:rFonts w:ascii="仿宋_GB2312" w:hAnsi="仿宋_GB2312" w:cs="仿宋_GB2312" w:eastAsia="仿宋_GB2312"/>
                <w:sz w:val="24"/>
              </w:rPr>
              <w:t>3.服务地点：采购人指定地点。</w:t>
            </w:r>
          </w:p>
          <w:p>
            <w:pPr>
              <w:pStyle w:val="null3"/>
              <w:ind w:firstLine="496"/>
              <w:jc w:val="left"/>
            </w:pPr>
            <w:r>
              <w:rPr>
                <w:rFonts w:ascii="仿宋_GB2312" w:hAnsi="仿宋_GB2312" w:cs="仿宋_GB2312" w:eastAsia="仿宋_GB2312"/>
                <w:sz w:val="24"/>
              </w:rPr>
              <w:t>4.结算方式：据实结算，结算总金额不超过中标价。其中：</w:t>
            </w:r>
          </w:p>
          <w:p>
            <w:pPr>
              <w:pStyle w:val="null3"/>
              <w:ind w:firstLine="496"/>
              <w:jc w:val="left"/>
            </w:pPr>
            <w:r>
              <w:rPr>
                <w:rFonts w:ascii="仿宋_GB2312" w:hAnsi="仿宋_GB2312" w:cs="仿宋_GB2312" w:eastAsia="仿宋_GB2312"/>
                <w:sz w:val="24"/>
              </w:rPr>
              <w:t>（</w:t>
            </w:r>
            <w:r>
              <w:rPr>
                <w:rFonts w:ascii="仿宋_GB2312" w:hAnsi="仿宋_GB2312" w:cs="仿宋_GB2312" w:eastAsia="仿宋_GB2312"/>
                <w:sz w:val="24"/>
              </w:rPr>
              <w:t>1）乙方（成交人）管理服务费用（含招聘费、培训费、风险金、残疾人就业保障金等）不超过中标价总额的8%，根据乙方工作完成情况（见附表），工作完成评分≥90分全额付款，工作完成评分＜90分则按对应百分比进行付款（例如：工作完成评分80分，则乙方管理服务费用=供应商报价×80%）。</w:t>
            </w:r>
          </w:p>
          <w:p>
            <w:pPr>
              <w:pStyle w:val="null3"/>
              <w:ind w:firstLine="496"/>
              <w:jc w:val="left"/>
            </w:pPr>
            <w:r>
              <w:rPr>
                <w:rFonts w:ascii="仿宋_GB2312" w:hAnsi="仿宋_GB2312" w:cs="仿宋_GB2312" w:eastAsia="仿宋_GB2312"/>
                <w:sz w:val="24"/>
              </w:rPr>
              <w:t>（</w:t>
            </w:r>
            <w:r>
              <w:rPr>
                <w:rFonts w:ascii="仿宋_GB2312" w:hAnsi="仿宋_GB2312" w:cs="仿宋_GB2312" w:eastAsia="仿宋_GB2312"/>
                <w:sz w:val="24"/>
              </w:rPr>
              <w:t>2）其他工资、社保、节日慰问、员工关怀、配餐保障、税费、招标代理服务费、管理人员费用等一切费用，在符合招标文件要求的基础上实行据实结算，乙方需提供工资流水、社保缴纳凭证、节日慰问/配餐保障员工签收表及相关票据、税务发票、招标代理服务费缴费相关凭证等资料。</w:t>
            </w:r>
          </w:p>
          <w:p>
            <w:pPr>
              <w:pStyle w:val="null3"/>
              <w:ind w:firstLine="496"/>
              <w:jc w:val="left"/>
            </w:pPr>
            <w:r>
              <w:rPr>
                <w:rFonts w:ascii="仿宋_GB2312" w:hAnsi="仿宋_GB2312" w:cs="仿宋_GB2312" w:eastAsia="仿宋_GB2312"/>
                <w:sz w:val="24"/>
              </w:rPr>
              <w:t>（</w:t>
            </w:r>
            <w:r>
              <w:rPr>
                <w:rFonts w:ascii="仿宋_GB2312" w:hAnsi="仿宋_GB2312" w:cs="仿宋_GB2312" w:eastAsia="仿宋_GB2312"/>
                <w:sz w:val="24"/>
              </w:rPr>
              <w:t>3）若（2）据实结算部分费用超过中标价总额的92%，则超出部分从（1）乙方管理服务费中扣除。</w:t>
            </w:r>
          </w:p>
          <w:p>
            <w:pPr>
              <w:pStyle w:val="null3"/>
              <w:ind w:firstLine="496"/>
              <w:jc w:val="left"/>
            </w:pPr>
            <w:r>
              <w:rPr>
                <w:rFonts w:ascii="仿宋_GB2312" w:hAnsi="仿宋_GB2312" w:cs="仿宋_GB2312" w:eastAsia="仿宋_GB2312"/>
                <w:sz w:val="24"/>
              </w:rPr>
              <w:t>5.付款方式：</w:t>
            </w:r>
            <w:r>
              <w:rPr>
                <w:rFonts w:ascii="仿宋_GB2312" w:hAnsi="仿宋_GB2312" w:cs="仿宋_GB2312" w:eastAsia="仿宋_GB2312"/>
                <w:sz w:val="24"/>
              </w:rPr>
              <w:t>分期付款，合同签订后预付合同总金额的</w:t>
            </w:r>
            <w:r>
              <w:rPr>
                <w:rFonts w:ascii="仿宋_GB2312" w:hAnsi="仿宋_GB2312" w:cs="仿宋_GB2312" w:eastAsia="仿宋_GB2312"/>
                <w:sz w:val="24"/>
              </w:rPr>
              <w:t>50%；2026年11月底前支付合同总价款40%（两次累计支付最多不超过92.8万元）；剩余合同尾款，根据据实结算情况和乙方工作完成情况计算实际应付金额，于合同服务期满乙方提出付款申请后一个月内进行支付。每次付款前，乙方需提前30个工作日书面提出付款申请，并提供符合甲方要求的增值税发票，申请支付尾款时，乙方还需提供据实结算需要的所有资料（包括工资发放表、社保缴纳凭证、正规发票、福利领取签字单等）</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二、服务</w:t>
            </w:r>
            <w:r>
              <w:rPr>
                <w:rFonts w:ascii="仿宋_GB2312" w:hAnsi="仿宋_GB2312" w:cs="仿宋_GB2312" w:eastAsia="仿宋_GB2312"/>
                <w:sz w:val="24"/>
              </w:rPr>
              <w:t>内容</w:t>
            </w:r>
          </w:p>
          <w:p>
            <w:pPr>
              <w:pStyle w:val="null3"/>
              <w:ind w:firstLine="496"/>
              <w:jc w:val="left"/>
            </w:pPr>
            <w:r>
              <w:rPr>
                <w:rFonts w:ascii="仿宋_GB2312" w:hAnsi="仿宋_GB2312" w:cs="仿宋_GB2312" w:eastAsia="仿宋_GB2312"/>
                <w:sz w:val="24"/>
              </w:rPr>
              <w:t>（一）项目概况</w:t>
            </w:r>
          </w:p>
          <w:p>
            <w:pPr>
              <w:pStyle w:val="null3"/>
              <w:ind w:firstLine="496"/>
              <w:jc w:val="left"/>
            </w:pPr>
            <w:r>
              <w:rPr>
                <w:rFonts w:ascii="仿宋_GB2312" w:hAnsi="仿宋_GB2312" w:cs="仿宋_GB2312" w:eastAsia="仿宋_GB2312"/>
                <w:sz w:val="24"/>
              </w:rPr>
              <w:t>1.外包目标：根据《关于清理规范市级机关和事业单位自聘人员相关事宜的通知》（市编办发〔2025〕75 号）要求，为满足和保障市场监管工作的车辆要求，现将市局机关公务车辆司驾人员2026年度工作业务整体外包。</w:t>
            </w:r>
          </w:p>
          <w:p>
            <w:pPr>
              <w:pStyle w:val="null3"/>
              <w:ind w:firstLine="496"/>
              <w:jc w:val="left"/>
            </w:pPr>
            <w:r>
              <w:rPr>
                <w:rFonts w:ascii="仿宋_GB2312" w:hAnsi="仿宋_GB2312" w:cs="仿宋_GB2312" w:eastAsia="仿宋_GB2312"/>
                <w:sz w:val="24"/>
              </w:rPr>
              <w:t>2.外包内容及范围：西安市市场监管局市局机关公务车辆司驾服务。</w:t>
            </w:r>
          </w:p>
          <w:p>
            <w:pPr>
              <w:pStyle w:val="null3"/>
              <w:ind w:firstLine="496"/>
              <w:jc w:val="left"/>
            </w:pPr>
            <w:r>
              <w:rPr>
                <w:rFonts w:ascii="仿宋_GB2312" w:hAnsi="仿宋_GB2312" w:cs="仿宋_GB2312" w:eastAsia="仿宋_GB2312"/>
                <w:sz w:val="24"/>
              </w:rPr>
              <w:t>（二）服务要求</w:t>
            </w:r>
          </w:p>
          <w:p>
            <w:pPr>
              <w:pStyle w:val="null3"/>
              <w:ind w:firstLine="496"/>
              <w:jc w:val="left"/>
            </w:pPr>
            <w:r>
              <w:rPr>
                <w:rFonts w:ascii="仿宋_GB2312" w:hAnsi="仿宋_GB2312" w:cs="仿宋_GB2312" w:eastAsia="仿宋_GB2312"/>
                <w:sz w:val="24"/>
              </w:rPr>
              <w:t>1. 服务外包团队的一切管理活动均由乙方负责，因人员管理产生的不良后果均由乙方承担。乙方须安排1名管理人员、</w:t>
            </w:r>
            <w:r>
              <w:rPr>
                <w:rFonts w:ascii="仿宋_GB2312" w:hAnsi="仿宋_GB2312" w:cs="仿宋_GB2312" w:eastAsia="仿宋_GB2312"/>
                <w:sz w:val="24"/>
              </w:rPr>
              <w:t>14</w:t>
            </w:r>
            <w:r>
              <w:rPr>
                <w:rFonts w:ascii="仿宋_GB2312" w:hAnsi="仿宋_GB2312" w:cs="仿宋_GB2312" w:eastAsia="仿宋_GB2312"/>
                <w:sz w:val="24"/>
              </w:rPr>
              <w:t>名司机及相应支撑团队，提供日常工作日加节假日及突发事件应急保障司驾服务，确保满足日常监管车辆的需要。</w:t>
            </w:r>
            <w:r>
              <w:rPr>
                <w:rFonts w:ascii="仿宋_GB2312" w:hAnsi="仿宋_GB2312" w:cs="仿宋_GB2312" w:eastAsia="仿宋_GB2312"/>
                <w:sz w:val="24"/>
              </w:rPr>
              <w:t xml:space="preserve">  </w:t>
            </w:r>
          </w:p>
          <w:p>
            <w:pPr>
              <w:pStyle w:val="null3"/>
              <w:ind w:firstLine="496"/>
              <w:jc w:val="left"/>
            </w:pPr>
            <w:r>
              <w:rPr>
                <w:rFonts w:ascii="仿宋_GB2312" w:hAnsi="仿宋_GB2312" w:cs="仿宋_GB2312" w:eastAsia="仿宋_GB2312"/>
                <w:sz w:val="24"/>
              </w:rPr>
              <w:t>2. 司机要求</w:t>
            </w:r>
          </w:p>
          <w:p>
            <w:pPr>
              <w:pStyle w:val="null3"/>
              <w:ind w:firstLine="496"/>
              <w:jc w:val="left"/>
            </w:pPr>
            <w:r>
              <w:rPr>
                <w:rFonts w:ascii="仿宋_GB2312" w:hAnsi="仿宋_GB2312" w:cs="仿宋_GB2312" w:eastAsia="仿宋_GB2312"/>
                <w:sz w:val="24"/>
              </w:rPr>
              <w:t>（</w:t>
            </w:r>
            <w:r>
              <w:rPr>
                <w:rFonts w:ascii="仿宋_GB2312" w:hAnsi="仿宋_GB2312" w:cs="仿宋_GB2312" w:eastAsia="仿宋_GB2312"/>
                <w:sz w:val="24"/>
              </w:rPr>
              <w:t>1）人员数量：</w:t>
            </w:r>
            <w:r>
              <w:rPr>
                <w:rFonts w:ascii="仿宋_GB2312" w:hAnsi="仿宋_GB2312" w:cs="仿宋_GB2312" w:eastAsia="仿宋_GB2312"/>
                <w:sz w:val="24"/>
              </w:rPr>
              <w:t>14</w:t>
            </w:r>
            <w:r>
              <w:rPr>
                <w:rFonts w:ascii="仿宋_GB2312" w:hAnsi="仿宋_GB2312" w:cs="仿宋_GB2312" w:eastAsia="仿宋_GB2312"/>
                <w:sz w:val="24"/>
              </w:rPr>
              <w:t>人。</w:t>
            </w:r>
          </w:p>
          <w:p>
            <w:pPr>
              <w:pStyle w:val="null3"/>
              <w:ind w:firstLine="496"/>
              <w:jc w:val="left"/>
            </w:pPr>
            <w:r>
              <w:rPr>
                <w:rFonts w:ascii="仿宋_GB2312" w:hAnsi="仿宋_GB2312" w:cs="仿宋_GB2312" w:eastAsia="仿宋_GB2312"/>
                <w:sz w:val="24"/>
              </w:rPr>
              <w:t>（</w:t>
            </w:r>
            <w:r>
              <w:rPr>
                <w:rFonts w:ascii="仿宋_GB2312" w:hAnsi="仿宋_GB2312" w:cs="仿宋_GB2312" w:eastAsia="仿宋_GB2312"/>
                <w:sz w:val="24"/>
              </w:rPr>
              <w:t>2）人员年龄：18岁至60岁。</w:t>
            </w:r>
          </w:p>
          <w:p>
            <w:pPr>
              <w:pStyle w:val="null3"/>
              <w:ind w:firstLine="496"/>
              <w:jc w:val="left"/>
            </w:pPr>
            <w:r>
              <w:rPr>
                <w:rFonts w:ascii="仿宋_GB2312" w:hAnsi="仿宋_GB2312" w:cs="仿宋_GB2312" w:eastAsia="仿宋_GB2312"/>
                <w:sz w:val="24"/>
              </w:rPr>
              <w:t>（</w:t>
            </w:r>
            <w:r>
              <w:rPr>
                <w:rFonts w:ascii="仿宋_GB2312" w:hAnsi="仿宋_GB2312" w:cs="仿宋_GB2312" w:eastAsia="仿宋_GB2312"/>
                <w:sz w:val="24"/>
              </w:rPr>
              <w:t>3）能力要求：身体健康，拥有驾驶公车所匹配的驾照，并具有一定的车辆故障应急处置能力，具有良好的服务意识、心理素质与团队协作精神，能够适应应急突发事件加班工作能力。</w:t>
            </w:r>
          </w:p>
          <w:p>
            <w:pPr>
              <w:pStyle w:val="null3"/>
              <w:ind w:firstLine="496"/>
              <w:jc w:val="left"/>
            </w:pPr>
            <w:r>
              <w:rPr>
                <w:rFonts w:ascii="仿宋_GB2312" w:hAnsi="仿宋_GB2312" w:cs="仿宋_GB2312" w:eastAsia="仿宋_GB2312"/>
                <w:sz w:val="24"/>
              </w:rPr>
              <w:t>（</w:t>
            </w:r>
            <w:r>
              <w:rPr>
                <w:rFonts w:ascii="仿宋_GB2312" w:hAnsi="仿宋_GB2312" w:cs="仿宋_GB2312" w:eastAsia="仿宋_GB2312"/>
                <w:sz w:val="24"/>
              </w:rPr>
              <w:t>4）人员聘用：为保障机关司驾工作的延续性，在同等条件下，优先聘用现有人员。</w:t>
            </w:r>
          </w:p>
          <w:p>
            <w:pPr>
              <w:pStyle w:val="null3"/>
              <w:ind w:firstLine="496"/>
              <w:jc w:val="left"/>
            </w:pPr>
            <w:r>
              <w:rPr>
                <w:rFonts w:ascii="仿宋_GB2312" w:hAnsi="仿宋_GB2312" w:cs="仿宋_GB2312" w:eastAsia="仿宋_GB2312"/>
                <w:sz w:val="24"/>
              </w:rPr>
              <w:t>3.司机管理</w:t>
            </w:r>
          </w:p>
          <w:p>
            <w:pPr>
              <w:pStyle w:val="null3"/>
              <w:ind w:firstLine="496"/>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14</w:t>
            </w:r>
            <w:r>
              <w:rPr>
                <w:rFonts w:ascii="仿宋_GB2312" w:hAnsi="仿宋_GB2312" w:cs="仿宋_GB2312" w:eastAsia="仿宋_GB2312"/>
                <w:sz w:val="24"/>
              </w:rPr>
              <w:t>名司机的管理由乙方负责。</w:t>
            </w:r>
          </w:p>
          <w:p>
            <w:pPr>
              <w:pStyle w:val="null3"/>
              <w:ind w:firstLine="496"/>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乙方提供</w:t>
            </w:r>
            <w:r>
              <w:rPr>
                <w:rFonts w:ascii="仿宋_GB2312" w:hAnsi="仿宋_GB2312" w:cs="仿宋_GB2312" w:eastAsia="仿宋_GB2312"/>
                <w:sz w:val="24"/>
              </w:rPr>
              <w:t>1名管理人员，负责人力管理、现场管理，完成人员考勤/考核、业务管理、群众投诉司机相关问题的处置及甲方安排的其他司驾相关工作，管理人员应在司机要求的基础上，且具有1年以上类似项目管理工作经验。</w:t>
            </w:r>
          </w:p>
          <w:p>
            <w:pPr>
              <w:pStyle w:val="null3"/>
              <w:ind w:firstLine="496"/>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另需额外提供</w:t>
            </w:r>
            <w:r>
              <w:rPr>
                <w:rFonts w:ascii="仿宋_GB2312" w:hAnsi="仿宋_GB2312" w:cs="仿宋_GB2312" w:eastAsia="仿宋_GB2312"/>
                <w:sz w:val="24"/>
              </w:rPr>
              <w:t>1名具备A1驾驶证人员，负责相应车辆驾驶工作，按出勤频次据实结算350元/次，报价计入加班费。</w:t>
            </w:r>
          </w:p>
          <w:p>
            <w:pPr>
              <w:pStyle w:val="null3"/>
              <w:ind w:firstLine="496"/>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）乙方应制定符合甲方要求的人员管理制度，建立常态化招聘渠道，及时有效地完成招聘，确保满足项目用人需求。</w:t>
            </w:r>
          </w:p>
          <w:p>
            <w:pPr>
              <w:pStyle w:val="null3"/>
              <w:ind w:firstLine="496"/>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）乙方应根据项目实际情况，建立常态化的绩效考核机制，制定符合甲方要求的绩效考核管理办法，定期对司机进行考核，以有效保障人员素质，提升服务水平和质量。</w:t>
            </w:r>
            <w:r>
              <w:rPr>
                <w:rFonts w:ascii="仿宋_GB2312" w:hAnsi="仿宋_GB2312" w:cs="仿宋_GB2312" w:eastAsia="仿宋_GB2312"/>
                <w:sz w:val="24"/>
              </w:rPr>
              <w:t xml:space="preserve">  </w:t>
            </w:r>
          </w:p>
          <w:p>
            <w:pPr>
              <w:pStyle w:val="null3"/>
              <w:ind w:firstLine="496"/>
              <w:jc w:val="left"/>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）为确保司机能够完成甲方约定交办的各项业务和工作任务，乙方应主动接受甲方对司机进行业务指导，听取甲方对司机相关评定意见。乙方应及时按照甲方意见，对不符合岗位要求的人员进行调整或辞退。</w:t>
            </w:r>
          </w:p>
          <w:p>
            <w:pPr>
              <w:pStyle w:val="null3"/>
              <w:ind w:firstLine="496"/>
              <w:jc w:val="left"/>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）工作时间按照甲方规定的工时制，在重要时间节点按照甲方要求进行排班。</w:t>
            </w:r>
          </w:p>
          <w:p>
            <w:pPr>
              <w:pStyle w:val="null3"/>
              <w:ind w:firstLine="496"/>
              <w:jc w:val="left"/>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乙方应按照《劳动法》《劳动合同法》等法律法规规定合法用工，及时与司机签订劳动合同，对其进行用工管理、薪酬福利发放、社会保险缴纳、人事档案管理、户籍关系管理及劳务纠纷处理等劳动关系管理，按时足额发放工资，办理缴纳社会保险，</w:t>
            </w:r>
            <w:r>
              <w:rPr>
                <w:rFonts w:ascii="仿宋_GB2312" w:hAnsi="仿宋_GB2312" w:cs="仿宋_GB2312" w:eastAsia="仿宋_GB2312"/>
                <w:sz w:val="24"/>
              </w:rPr>
              <w:t>时间从</w:t>
            </w:r>
            <w:r>
              <w:rPr>
                <w:rFonts w:ascii="仿宋_GB2312" w:hAnsi="仿宋_GB2312" w:cs="仿宋_GB2312" w:eastAsia="仿宋_GB2312"/>
                <w:sz w:val="24"/>
              </w:rPr>
              <w:t>2026年</w:t>
            </w:r>
            <w:r>
              <w:rPr>
                <w:rFonts w:ascii="仿宋_GB2312" w:hAnsi="仿宋_GB2312" w:cs="仿宋_GB2312" w:eastAsia="仿宋_GB2312"/>
                <w:sz w:val="24"/>
              </w:rPr>
              <w:t>4</w:t>
            </w:r>
            <w:r>
              <w:rPr>
                <w:rFonts w:ascii="仿宋_GB2312" w:hAnsi="仿宋_GB2312" w:cs="仿宋_GB2312" w:eastAsia="仿宋_GB2312"/>
                <w:sz w:val="24"/>
              </w:rPr>
              <w:t>月</w:t>
            </w:r>
            <w:r>
              <w:rPr>
                <w:rFonts w:ascii="仿宋_GB2312" w:hAnsi="仿宋_GB2312" w:cs="仿宋_GB2312" w:eastAsia="仿宋_GB2312"/>
                <w:sz w:val="24"/>
              </w:rPr>
              <w:t>1日开始至2027年</w:t>
            </w:r>
            <w:r>
              <w:rPr>
                <w:rFonts w:ascii="仿宋_GB2312" w:hAnsi="仿宋_GB2312" w:cs="仿宋_GB2312" w:eastAsia="仿宋_GB2312"/>
                <w:sz w:val="24"/>
              </w:rPr>
              <w:t>3</w:t>
            </w:r>
            <w:r>
              <w:rPr>
                <w:rFonts w:ascii="仿宋_GB2312" w:hAnsi="仿宋_GB2312" w:cs="仿宋_GB2312" w:eastAsia="仿宋_GB2312"/>
                <w:sz w:val="24"/>
              </w:rPr>
              <w:t>月</w:t>
            </w:r>
            <w:r>
              <w:rPr>
                <w:rFonts w:ascii="仿宋_GB2312" w:hAnsi="仿宋_GB2312" w:cs="仿宋_GB2312" w:eastAsia="仿宋_GB2312"/>
                <w:sz w:val="24"/>
              </w:rPr>
              <w:t>31</w:t>
            </w:r>
            <w:r>
              <w:rPr>
                <w:rFonts w:ascii="仿宋_GB2312" w:hAnsi="仿宋_GB2312" w:cs="仿宋_GB2312" w:eastAsia="仿宋_GB2312"/>
                <w:sz w:val="24"/>
              </w:rPr>
              <w:t>日结束。</w:t>
            </w:r>
          </w:p>
          <w:p>
            <w:pPr>
              <w:pStyle w:val="null3"/>
              <w:jc w:val="left"/>
            </w:pPr>
            <w:r>
              <w:rPr>
                <w:rFonts w:ascii="仿宋_GB2312" w:hAnsi="仿宋_GB2312" w:cs="仿宋_GB2312" w:eastAsia="仿宋_GB2312"/>
                <w:sz w:val="24"/>
              </w:rPr>
              <w:t xml:space="preserve">    </w:t>
            </w: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）乙方须完成司机社保转移接续工作，支付原先司机管理单位所垫付的社保费用等相关费用。</w:t>
            </w:r>
          </w:p>
          <w:p>
            <w:pPr>
              <w:pStyle w:val="null3"/>
              <w:ind w:firstLine="496"/>
              <w:jc w:val="left"/>
            </w:pPr>
            <w:r>
              <w:rPr>
                <w:rFonts w:ascii="仿宋_GB2312" w:hAnsi="仿宋_GB2312" w:cs="仿宋_GB2312" w:eastAsia="仿宋_GB2312"/>
                <w:sz w:val="24"/>
              </w:rPr>
              <w:t>4.人员薪资待遇、服务期限及相关要求</w:t>
            </w:r>
          </w:p>
          <w:p>
            <w:pPr>
              <w:pStyle w:val="null3"/>
              <w:ind w:firstLine="496"/>
              <w:jc w:val="left"/>
            </w:pPr>
            <w:r>
              <w:rPr>
                <w:rFonts w:ascii="仿宋_GB2312" w:hAnsi="仿宋_GB2312" w:cs="仿宋_GB2312" w:eastAsia="仿宋_GB2312"/>
                <w:sz w:val="24"/>
              </w:rPr>
              <w:t>（</w:t>
            </w:r>
            <w:r>
              <w:rPr>
                <w:rFonts w:ascii="仿宋_GB2312" w:hAnsi="仿宋_GB2312" w:cs="仿宋_GB2312" w:eastAsia="仿宋_GB2312"/>
                <w:sz w:val="24"/>
              </w:rPr>
              <w:t>1）司机工资由基础底薪、绩效工资、福利工资（加班费、餐补等）组成（乙方管理费用不含在内）。</w:t>
            </w:r>
          </w:p>
          <w:p>
            <w:pPr>
              <w:pStyle w:val="null3"/>
              <w:ind w:firstLine="496"/>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14</w:t>
            </w:r>
            <w:r>
              <w:rPr>
                <w:rFonts w:ascii="仿宋_GB2312" w:hAnsi="仿宋_GB2312" w:cs="仿宋_GB2312" w:eastAsia="仿宋_GB2312"/>
                <w:sz w:val="24"/>
              </w:rPr>
              <w:t>名司机的服务期限从</w:t>
            </w:r>
            <w:r>
              <w:rPr>
                <w:rFonts w:ascii="仿宋_GB2312" w:hAnsi="仿宋_GB2312" w:cs="仿宋_GB2312" w:eastAsia="仿宋_GB2312"/>
                <w:sz w:val="24"/>
              </w:rPr>
              <w:t>2026年</w:t>
            </w:r>
            <w:r>
              <w:rPr>
                <w:rFonts w:ascii="仿宋_GB2312" w:hAnsi="仿宋_GB2312" w:cs="仿宋_GB2312" w:eastAsia="仿宋_GB2312"/>
                <w:sz w:val="24"/>
              </w:rPr>
              <w:t>4</w:t>
            </w:r>
            <w:r>
              <w:rPr>
                <w:rFonts w:ascii="仿宋_GB2312" w:hAnsi="仿宋_GB2312" w:cs="仿宋_GB2312" w:eastAsia="仿宋_GB2312"/>
                <w:sz w:val="24"/>
              </w:rPr>
              <w:t>月</w:t>
            </w:r>
            <w:r>
              <w:rPr>
                <w:rFonts w:ascii="仿宋_GB2312" w:hAnsi="仿宋_GB2312" w:cs="仿宋_GB2312" w:eastAsia="仿宋_GB2312"/>
                <w:sz w:val="24"/>
              </w:rPr>
              <w:t>1日开始至2027年</w:t>
            </w:r>
            <w:r>
              <w:rPr>
                <w:rFonts w:ascii="仿宋_GB2312" w:hAnsi="仿宋_GB2312" w:cs="仿宋_GB2312" w:eastAsia="仿宋_GB2312"/>
                <w:sz w:val="24"/>
              </w:rPr>
              <w:t>3</w:t>
            </w:r>
            <w:r>
              <w:rPr>
                <w:rFonts w:ascii="仿宋_GB2312" w:hAnsi="仿宋_GB2312" w:cs="仿宋_GB2312" w:eastAsia="仿宋_GB2312"/>
                <w:sz w:val="24"/>
              </w:rPr>
              <w:t>月</w:t>
            </w:r>
            <w:r>
              <w:rPr>
                <w:rFonts w:ascii="仿宋_GB2312" w:hAnsi="仿宋_GB2312" w:cs="仿宋_GB2312" w:eastAsia="仿宋_GB2312"/>
                <w:sz w:val="24"/>
              </w:rPr>
              <w:t>31</w:t>
            </w:r>
            <w:r>
              <w:rPr>
                <w:rFonts w:ascii="仿宋_GB2312" w:hAnsi="仿宋_GB2312" w:cs="仿宋_GB2312" w:eastAsia="仿宋_GB2312"/>
                <w:sz w:val="24"/>
              </w:rPr>
              <w:t>日截止。</w:t>
            </w:r>
          </w:p>
          <w:p>
            <w:pPr>
              <w:pStyle w:val="null3"/>
              <w:ind w:firstLine="496"/>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乙方负责法定节假日期间项目人员的实际发生的节日加班费用</w:t>
            </w:r>
          </w:p>
          <w:p>
            <w:pPr>
              <w:pStyle w:val="null3"/>
              <w:ind w:left="750"/>
              <w:jc w:val="left"/>
            </w:pPr>
            <w:r>
              <w:rPr>
                <w:rFonts w:ascii="仿宋_GB2312" w:hAnsi="仿宋_GB2312" w:cs="仿宋_GB2312" w:eastAsia="仿宋_GB2312"/>
                <w:sz w:val="24"/>
              </w:rPr>
              <w:t>（</w:t>
            </w:r>
            <w:r>
              <w:rPr>
                <w:rFonts w:ascii="仿宋_GB2312" w:hAnsi="仿宋_GB2312" w:cs="仿宋_GB2312" w:eastAsia="仿宋_GB2312"/>
                <w:sz w:val="24"/>
              </w:rPr>
              <w:t>4）本项目经费不受市场价变化的影响。</w:t>
            </w:r>
          </w:p>
          <w:p>
            <w:pPr>
              <w:pStyle w:val="null3"/>
              <w:ind w:left="750"/>
              <w:jc w:val="left"/>
            </w:pPr>
            <w:r>
              <w:rPr>
                <w:rFonts w:ascii="仿宋_GB2312" w:hAnsi="仿宋_GB2312" w:cs="仿宋_GB2312" w:eastAsia="仿宋_GB2312"/>
                <w:sz w:val="24"/>
              </w:rPr>
              <w:t>（</w:t>
            </w:r>
            <w:r>
              <w:rPr>
                <w:rFonts w:ascii="仿宋_GB2312" w:hAnsi="仿宋_GB2312" w:cs="仿宋_GB2312" w:eastAsia="仿宋_GB2312"/>
                <w:sz w:val="24"/>
              </w:rPr>
              <w:t>5）驾驶人员考核评价表</w:t>
            </w:r>
          </w:p>
          <w:p>
            <w:pPr>
              <w:pStyle w:val="null3"/>
              <w:jc w:val="center"/>
            </w:pPr>
            <w:r>
              <w:rPr>
                <w:rFonts w:ascii="仿宋_GB2312" w:hAnsi="仿宋_GB2312" w:cs="仿宋_GB2312" w:eastAsia="仿宋_GB2312"/>
                <w:sz w:val="24"/>
              </w:rPr>
              <w:t>工作完成情况评价表</w:t>
            </w:r>
          </w:p>
          <w:tbl>
            <w:tblPr>
              <w:tblInd w:type="dxa" w:w="120"/>
              <w:tblBorders>
                <w:top w:val="none" w:color="000000" w:sz="4"/>
                <w:left w:val="none" w:color="000000" w:sz="4"/>
                <w:bottom w:val="none" w:color="000000" w:sz="4"/>
                <w:right w:val="none" w:color="000000" w:sz="4"/>
                <w:insideH w:val="none"/>
                <w:insideV w:val="none"/>
              </w:tblBorders>
            </w:tblPr>
            <w:tblGrid>
              <w:gridCol w:w="243"/>
              <w:gridCol w:w="473"/>
              <w:gridCol w:w="249"/>
              <w:gridCol w:w="897"/>
              <w:gridCol w:w="255"/>
              <w:gridCol w:w="268"/>
              <w:gridCol w:w="168"/>
            </w:tblGrid>
            <w:tr>
              <w:tc>
                <w:tcPr>
                  <w:tcW w:type="dxa" w:w="2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考核类别</w:t>
                  </w:r>
                </w:p>
              </w:tc>
              <w:tc>
                <w:tcPr>
                  <w:tcW w:type="dxa" w:w="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考核项目与评分标准</w:t>
                  </w:r>
                </w:p>
              </w:tc>
              <w:tc>
                <w:tcPr>
                  <w:tcW w:type="dxa" w:w="2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分值</w:t>
                  </w:r>
                </w:p>
              </w:tc>
              <w:tc>
                <w:tcPr>
                  <w:tcW w:type="dxa" w:w="8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评分标准</w:t>
                  </w:r>
                </w:p>
              </w:tc>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自评得分</w:t>
                  </w:r>
                </w:p>
              </w:tc>
              <w:tc>
                <w:tcPr>
                  <w:tcW w:type="dxa" w:w="2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考核得分</w:t>
                  </w:r>
                </w:p>
              </w:tc>
              <w:tc>
                <w:tcPr>
                  <w:tcW w:type="dxa" w:w="1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备注</w:t>
                  </w:r>
                </w:p>
              </w:tc>
            </w:tr>
            <w:tr>
              <w:tc>
                <w:tcPr>
                  <w:tcW w:type="dxa" w:w="2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一、安全驾驶</w:t>
                  </w:r>
                </w:p>
                <w:p>
                  <w:pPr>
                    <w:pStyle w:val="null3"/>
                    <w:jc w:val="center"/>
                  </w:pPr>
                  <w:r>
                    <w:rPr>
                      <w:rFonts w:ascii="仿宋_GB2312" w:hAnsi="仿宋_GB2312" w:cs="仿宋_GB2312" w:eastAsia="仿宋_GB2312"/>
                      <w:sz w:val="18"/>
                    </w:rPr>
                    <w:t>(30分)</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 遵守交通法规</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发生主责交通事故扣</w:t>
                  </w:r>
                  <w:r>
                    <w:rPr>
                      <w:rFonts w:ascii="仿宋_GB2312" w:hAnsi="仿宋_GB2312" w:cs="仿宋_GB2312" w:eastAsia="仿宋_GB2312"/>
                      <w:sz w:val="18"/>
                    </w:rPr>
                    <w:t>5-10分/次；有违章记录扣2分/次；扣完为止，情节严重的本项为0分</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3"/>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 安全行车意识</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出车前检查、行车中平稳、无危险驾驶习惯（如急刹、猛拐、接打手机等）。发现一次不符合扣</w:t>
                  </w:r>
                  <w:r>
                    <w:rPr>
                      <w:rFonts w:ascii="仿宋_GB2312" w:hAnsi="仿宋_GB2312" w:cs="仿宋_GB2312" w:eastAsia="仿宋_GB2312"/>
                      <w:sz w:val="18"/>
                    </w:rPr>
                    <w:t>2分。</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3"/>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 车辆安全状况</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确保车辆无安全隐患，按规定进行保养、年检。发现一次隐患未处理扣</w:t>
                  </w:r>
                  <w:r>
                    <w:rPr>
                      <w:rFonts w:ascii="仿宋_GB2312" w:hAnsi="仿宋_GB2312" w:cs="仿宋_GB2312" w:eastAsia="仿宋_GB2312"/>
                      <w:sz w:val="18"/>
                    </w:rPr>
                    <w:t>3分。</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二、服务质量</w:t>
                  </w:r>
                </w:p>
                <w:p>
                  <w:pPr>
                    <w:pStyle w:val="null3"/>
                    <w:jc w:val="center"/>
                  </w:pPr>
                  <w:r>
                    <w:rPr>
                      <w:rFonts w:ascii="仿宋_GB2312" w:hAnsi="仿宋_GB2312" w:cs="仿宋_GB2312" w:eastAsia="仿宋_GB2312"/>
                      <w:sz w:val="18"/>
                    </w:rPr>
                    <w:t>(30分)</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 仪容仪表与言行</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着装整洁统一，举止文明，礼貌待人。不符合要求一次扣</w:t>
                  </w:r>
                  <w:r>
                    <w:rPr>
                      <w:rFonts w:ascii="仿宋_GB2312" w:hAnsi="仿宋_GB2312" w:cs="仿宋_GB2312" w:eastAsia="仿宋_GB2312"/>
                      <w:sz w:val="18"/>
                    </w:rPr>
                    <w:t>1分。</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3"/>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 准时守时</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按任务要求提前到位等候。无故迟到、延误一次扣</w:t>
                  </w:r>
                  <w:r>
                    <w:rPr>
                      <w:rFonts w:ascii="仿宋_GB2312" w:hAnsi="仿宋_GB2312" w:cs="仿宋_GB2312" w:eastAsia="仿宋_GB2312"/>
                      <w:sz w:val="18"/>
                    </w:rPr>
                    <w:t>3分；造成严重后果扣5-10分。</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3"/>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 服务态度与沟通</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态度热情、耐心，服从调度，沟通顺畅。遭服务对象有效投诉一次扣</w:t>
                  </w:r>
                  <w:r>
                    <w:rPr>
                      <w:rFonts w:ascii="仿宋_GB2312" w:hAnsi="仿宋_GB2312" w:cs="仿宋_GB2312" w:eastAsia="仿宋_GB2312"/>
                      <w:sz w:val="18"/>
                    </w:rPr>
                    <w:t>5分。</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3"/>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 车容车貌</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车辆内外清洁卫生，物品摆放整齐。检查不合格一次扣</w:t>
                  </w:r>
                  <w:r>
                    <w:rPr>
                      <w:rFonts w:ascii="仿宋_GB2312" w:hAnsi="仿宋_GB2312" w:cs="仿宋_GB2312" w:eastAsia="仿宋_GB2312"/>
                      <w:sz w:val="18"/>
                    </w:rPr>
                    <w:t>2分。</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三、业务能力与规范</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 驾驶技能</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技术娴熟，熟悉路况，能应对复杂路况和天气。明显技能不足或选择路线不合理扣</w:t>
                  </w:r>
                  <w:r>
                    <w:rPr>
                      <w:rFonts w:ascii="仿宋_GB2312" w:hAnsi="仿宋_GB2312" w:cs="仿宋_GB2312" w:eastAsia="仿宋_GB2312"/>
                      <w:sz w:val="18"/>
                    </w:rPr>
                    <w:t>2-3分。</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3"/>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 保密与纪律</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严守工作纪律，不泄露听到、看到的任何工作信息。</w:t>
                  </w:r>
                  <w:r>
                    <w:rPr>
                      <w:rFonts w:ascii="仿宋_GB2312" w:hAnsi="仿宋_GB2312" w:cs="仿宋_GB2312" w:eastAsia="仿宋_GB2312"/>
                      <w:sz w:val="18"/>
                    </w:rPr>
                    <w:t>违反保密规定本项为</w:t>
                  </w:r>
                  <w:r>
                    <w:rPr>
                      <w:rFonts w:ascii="仿宋_GB2312" w:hAnsi="仿宋_GB2312" w:cs="仿宋_GB2312" w:eastAsia="仿宋_GB2312"/>
                      <w:sz w:val="18"/>
                    </w:rPr>
                    <w:t>0分，并追究责任。</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3"/>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 出车流程规范</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严格执行派车单制度，规范填写派车单志，及时收车。一次不规范扣</w:t>
                  </w:r>
                  <w:r>
                    <w:rPr>
                      <w:rFonts w:ascii="仿宋_GB2312" w:hAnsi="仿宋_GB2312" w:cs="仿宋_GB2312" w:eastAsia="仿宋_GB2312"/>
                      <w:sz w:val="18"/>
                    </w:rPr>
                    <w:t>1分。</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3"/>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 应急处置</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熟悉车辆基本故障处理和应急预案。突发事件处理不当扣</w:t>
                  </w:r>
                  <w:r>
                    <w:rPr>
                      <w:rFonts w:ascii="仿宋_GB2312" w:hAnsi="仿宋_GB2312" w:cs="仿宋_GB2312" w:eastAsia="仿宋_GB2312"/>
                      <w:sz w:val="18"/>
                    </w:rPr>
                    <w:t>3-5分。</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四、成本与效率</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 油、电耗与费用控制</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油电耗在合理范围内，无虚报费用。费用明显异常且无合理解释扣</w:t>
                  </w:r>
                  <w:r>
                    <w:rPr>
                      <w:rFonts w:ascii="仿宋_GB2312" w:hAnsi="仿宋_GB2312" w:cs="仿宋_GB2312" w:eastAsia="仿宋_GB2312"/>
                      <w:sz w:val="18"/>
                    </w:rPr>
                    <w:t>5-10分。</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3"/>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 车辆使用效率</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服从统一调度，无正当理由拒绝派车或私自变更用途，一次扣</w:t>
                  </w:r>
                  <w:r>
                    <w:rPr>
                      <w:rFonts w:ascii="仿宋_GB2312" w:hAnsi="仿宋_GB2312" w:cs="仿宋_GB2312" w:eastAsia="仿宋_GB2312"/>
                      <w:sz w:val="18"/>
                    </w:rPr>
                    <w:t>3分。</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加分项</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 突出表现</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r>
                    <w:rPr>
                      <w:rFonts w:ascii="仿宋_GB2312" w:hAnsi="仿宋_GB2312" w:cs="仿宋_GB2312" w:eastAsia="仿宋_GB2312"/>
                      <w:sz w:val="18"/>
                    </w:rPr>
                    <w:t>5）</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获得服务对象书面表扬、提出合理化建议被采纳、避免重大安全事故等，视情况加</w:t>
                  </w:r>
                  <w:r>
                    <w:rPr>
                      <w:rFonts w:ascii="仿宋_GB2312" w:hAnsi="仿宋_GB2312" w:cs="仿宋_GB2312" w:eastAsia="仿宋_GB2312"/>
                      <w:sz w:val="18"/>
                    </w:rPr>
                    <w:t>1-5分。</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减分</w:t>
                  </w:r>
                  <w:r>
                    <w:rPr>
                      <w:rFonts w:ascii="仿宋_GB2312" w:hAnsi="仿宋_GB2312" w:cs="仿宋_GB2312" w:eastAsia="仿宋_GB2312"/>
                      <w:sz w:val="18"/>
                    </w:rPr>
                    <w:t>/否决项</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 重大过失（一票否决）</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发生重大安全责任事故、严重违法违纪行为、严重泄密事件、酒驾醉驾等，实行一票否决，总分计</w:t>
                  </w:r>
                  <w:r>
                    <w:rPr>
                      <w:rFonts w:ascii="仿宋_GB2312" w:hAnsi="仿宋_GB2312" w:cs="仿宋_GB2312" w:eastAsia="仿宋_GB2312"/>
                      <w:sz w:val="18"/>
                    </w:rPr>
                    <w:t>0分，并立即启动合同退出或追究违约责任。</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总分</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1名管理人员、14名司机及相应支撑团队</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2026年4月1日至2027年3月31日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西安市市场监督管理局指定地点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符合采购文件、响应文件和合同文件相关考核验收标准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2026年11月底前</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前两次累计支付最多不超过92.8万元）剩余合同尾款，根据据实结算情况和乙方工作完成情况计算实际应付金额，于合同服务期满乙方提出付款申请后一个月内进行支付。每次付款前，乙方需提前30个工作日书面提出付款申请，并提供符合甲方要求的增值税发票，申请支付尾款时，乙方还需提供据实结算需要的所有资料（包括工资发放表、社保缴纳凭证、正规发票、福利领取签字单等）。</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符合采购文件、响应文件和合同文件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弃标须知：根据市财函【2021】431号文第16条规定：供应商登记免费领取采购文件的，如不参与项目投标，应在递交投标（或响应）文件截止时间前一日以书面形式告知采购代理机构。否则，采购代理机构可以向财政部门反应情况并提供佐证。供应商一年内累计出现三次该情形，将被监管部门记录为失信行为。 2.供应商需要在线提交所有通过电子化交易平台实施的政府采购项目的投标文件，同时，中标供应商须在发布中标公告后线下提交投标文件正本壹份、副本贰份。 线下提交投标文件地点：西安市高新区唐延路旺座现代城 C 座 25 楼 2502室 ；联系电话：029-88319689转8007 邮箱：sxwzzb@126.com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w:t>
            </w:r>
          </w:p>
        </w:tc>
        <w:tc>
          <w:tcPr>
            <w:tcW w:type="dxa" w:w="3322"/>
          </w:tcPr>
          <w:p>
            <w:pPr>
              <w:pStyle w:val="null3"/>
            </w:pPr>
            <w:r>
              <w:rPr>
                <w:rFonts w:ascii="仿宋_GB2312" w:hAnsi="仿宋_GB2312" w:cs="仿宋_GB2312" w:eastAsia="仿宋_GB2312"/>
              </w:rPr>
              <w:t>1、《关于印发&lt;政府采购促进中小企业发展管理办法&gt;的通知》（财库〔2020〕46号）；陕西省财政厅关于落实政府采购支持中小企业政策有关事项的通知（陕财办采函〔2022〕10号 ） 2、《关于政府采购支持监狱企业发展有关问题的通知》（财库〔2014〕68号）； 3、《关于促进残疾人就业政府采购政策的通知》（财库〔2017〕141号）。 4、《关于建立政府强制采购节能产品制度的通知》（国发办〔2007〕51号）； 5、《节能产品政府采购实施意见》（财库〔2004〕185号）； 6、《环境标志产品政府采购实施的意见》（财库〔2006〕90号）； 7、《关于调整优化节能产品、环境标志产品政府采购执行机制的通知》（财库〔2019〕9号）； 8、国务院办公厅《关于建立政府强制采购节能产品制度的通知》（国办发〔2007〕51号）； 9、《关于运用政府采购政策支持乡村产业振兴的通知》（财库〔2021〕19号）、《关于印发&lt;关于深入开展政府采购脱贫地区农副产品工作推进乡村产业振兴的实施意见&gt;的通知》（财库〔2021〕20号）； 10、《陕西省财政厅关于加快推进我省中小企业政府采购信用融资工作的通知》（陕财办采〔2020〕15号）、陕西省财政厅关于印发《陕西省中小企业政府采购信用融资办法》（陕财办采〔2018〕23号）。 11、财政部关于进一步加大政府采购支持中小企业力度的通知（财库﹝2022﹞19号）。 12、《关于在政府采购中实施本国产品标准及相关政策的通知》（国办发〔2025〕34号）。13、其他需要落实的政府采购政策；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2025年10月至今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供应商提供2025年10月至今已缴纳的至少一个月纳税证明或完税证明，依法免税的单位应提供相关证明材料（以税款所属期为准）；</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提供经会计师事务所审计的2024年或2025年财务审计报告（审计报告应当赋码，可通过注册会计师行业统一监管平台(http://acc.mof.gov.cn)进行查验）或在开标日期前六个月内其基本开户银行出具的资信证明；</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非法定代表人参加投标，须提供法定代表人授权委托书及被授权人身份证（授权代表参与投标的，提供授权代表开标前三个月内至少一个月的社会保险参保缴费情况证明）；法定代表人参加投标时,须提供法定代表人身份证明书；</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本项目专门面向中小企业，供应商须提供中小企业声明函。</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2-1供应商资格证明资料（中小）.docx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①投标（响应）报价低于全部通过符合性审查供应商投标（响应）报价平均值50%的，即投标（响应）报价&lt;全部通过符合性审查供应商投标（响应）报价平均值×50%；②投标（响应）报价低于通过符合性审查的次低报价供应商投标（响应）报价50%的，即投标（响应）报价&lt;通过符合性审查的次低报价供应商投标（响应）报价×50%；③投标（响应）报价低于采购项目最高限价45%的，即投标（响应）报价&lt;采购项目最高限价×45%；④磋商小组基于专业判断，认为供应商报价过低，有可能影响产品质量或者不能诚信履约的其他情形。 采购人可以结合具体项目实际情况，提高上述第1项至第3项中启动异常低价投标（响应）审查的数值标准，但是最高不得超过65%），，有可能影响产品质量或者不能诚信履约的，磋商小组应当要求其在30分钟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响应报价是否超过预算或最高限价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服务期限是否满足竞争性磋商文件要求</w:t>
            </w:r>
          </w:p>
        </w:tc>
        <w:tc>
          <w:tcPr>
            <w:tcW w:type="dxa" w:w="1661"/>
          </w:tcPr>
          <w:p>
            <w:pPr>
              <w:pStyle w:val="null3"/>
            </w:pPr>
            <w:r>
              <w:rPr>
                <w:rFonts w:ascii="仿宋_GB2312" w:hAnsi="仿宋_GB2312" w:cs="仿宋_GB2312" w:eastAsia="仿宋_GB2312"/>
              </w:rPr>
              <w:t>3.商务和服务响应偏离表.docx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响应文件签字、盖章是否满足竞争性磋商文件要求</w:t>
            </w:r>
          </w:p>
        </w:tc>
        <w:tc>
          <w:tcPr>
            <w:tcW w:type="dxa" w:w="1661"/>
          </w:tcPr>
          <w:p>
            <w:pPr>
              <w:pStyle w:val="null3"/>
            </w:pPr>
            <w:r>
              <w:rPr>
                <w:rFonts w:ascii="仿宋_GB2312" w:hAnsi="仿宋_GB2312" w:cs="仿宋_GB2312" w:eastAsia="仿宋_GB2312"/>
              </w:rPr>
              <w:t>响应文件封面 1分项报价表.docx 7.供应商业绩一览表.docx 中小企业声明函 8.供应商承诺书.docx 标的清单 报价表 3.商务和服务响应偏离表.docx 响应函 2-1供应商资格证明资料（中小）.docx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磋商有效期是否满足竞争性磋商文件要求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与磋商文件商务要求条款不一致或增加了采购人难以接受的条款</w:t>
            </w:r>
          </w:p>
        </w:tc>
        <w:tc>
          <w:tcPr>
            <w:tcW w:type="dxa" w:w="1661"/>
          </w:tcPr>
          <w:p>
            <w:pPr>
              <w:pStyle w:val="null3"/>
            </w:pPr>
            <w:r>
              <w:rPr>
                <w:rFonts w:ascii="仿宋_GB2312" w:hAnsi="仿宋_GB2312" w:cs="仿宋_GB2312" w:eastAsia="仿宋_GB2312"/>
              </w:rPr>
              <w:t>3.商务和服务响应偏离表.docx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是否符合法律法规和磋商文件规定的其他实质性要求</w:t>
            </w:r>
          </w:p>
        </w:tc>
        <w:tc>
          <w:tcPr>
            <w:tcW w:type="dxa" w:w="1661"/>
          </w:tcPr>
          <w:p>
            <w:pPr>
              <w:pStyle w:val="null3"/>
            </w:pPr>
            <w:r>
              <w:rPr>
                <w:rFonts w:ascii="仿宋_GB2312" w:hAnsi="仿宋_GB2312" w:cs="仿宋_GB2312" w:eastAsia="仿宋_GB2312"/>
              </w:rPr>
              <w:t>8.供应商承诺书.docx 3.商务和服务响应偏离表.docx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项目需求分析</w:t>
            </w:r>
          </w:p>
        </w:tc>
        <w:tc>
          <w:tcPr>
            <w:tcW w:type="dxa" w:w="2492"/>
          </w:tcPr>
          <w:p>
            <w:pPr>
              <w:pStyle w:val="null3"/>
            </w:pPr>
            <w:r>
              <w:rPr>
                <w:rFonts w:ascii="仿宋_GB2312" w:hAnsi="仿宋_GB2312" w:cs="仿宋_GB2312" w:eastAsia="仿宋_GB2312"/>
              </w:rPr>
              <w:t>根据供应商提供的项目分析进行评审，包括：（1）对项目的认识分析；（2）服务内容响应情况；（3）对项目重难点分析；（4）项目后勤管理方案； 上述4项内容齐全且无缺陷（缺陷是指内容缺少关键点；非专门针对本项目或不适用本项目特性、套用其他项目内容；对同一问题前后表述矛盾；存在逻辑漏洞、科学原理或常识错误；不利于本项目目标的实现、现有技术条件下不可能出现的情形等任意一种情形）得16分，每缺少一项内容扣4分，扣完为止；单项内容每存在一处缺陷扣2分，扣完为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4项目需求分析及服务方案.docx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供应商提供的驾驶人员管理服务方案进行评审，包括：（1）项目管理的机构设置；（2）驾驶人员人事管理方案；（3）驾驶人员培训方案；（4）驾驶人员考核方案；上述4项内容齐全且无缺陷（缺陷是指内容缺少关键点；非专门针对本项目或不适用本项目特性、套用其他项目内容；对同一问题前后表述矛盾；存在逻辑漏洞、科学原理或常识错误；不利于本项目目标的实现、现有技术条件下不可能出现的情形等任意一种情形）20分，每缺少一项内容扣5分，扣完为止；单项内容每存在一处缺陷扣2.5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4项目需求分析及服务方案.docx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根据供应商提供的管理制度进行评审, 包括： （1）服务管理团队管理制度；（2）服务管理团队培训制度；（3）安全管理制度；（4）组织流程管理制度；上述4项内容齐全且无缺陷（缺陷是指内容缺少关键点；非专门针对本项目或不适用本项目特性、套用其他项目内容；对同一问题前后表述矛盾；存在逻辑漏洞、科学原理或常识错误；不利于本项目目标的实现、现有技术条件下不可能出现的情形等任意一种情形）得20分，每缺少一项内容扣5分，扣完为止； 单项内容每存在一处缺陷扣2.5分，扣完为止。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5.管理制度与应急预案.docx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供应商提供的应急预案进行评审，包括：（1）人员突发事件应急预案；（2）应急小组人员配置；（3 )人员突发事件应急处理时的响应时间；（4）其他风险控制措施。上述4项内容齐全且无缺陷（缺陷是指内容缺少关键点；非专门针对本项目或不适用本项目特性、套用其他项目内容；对同一问题前后表述矛盾；存在逻辑漏洞、科学原理或常识错误；不利于本项目目标的实现、现有技术条件下不可能出现的情形等任意一种情形）得16分，每缺少一项内容扣4分，扣完为止；单项内容每存在一处缺陷扣2分，扣完为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5.管理制度与应急预案.docx</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根据本项目实际需求及特点，制定保密方案，方案包括：（1）保密制度；（2）保密措施。 上述2项内容齐全且无缺陷（缺陷是指内容缺少关键点；非专门针对本项目或不适用本项目特性、套用其他项目内容；对同一问题前后表述矛盾；存在逻辑漏洞、科学原理或常识错误；不利于本项目目标的实现、现有技术条件下不可能出现的情形等任意一种情形）得6分，每缺少一项内容扣3分，扣完为止；单项内容每存在一处缺陷扣1.5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6.保密方案.docx</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供应商提供2023年1月至今（以合同签订时间为准）的同类型业绩，每提供一个计3分，满分12分。（须在响应文件中提供合同的复印件加盖公章，否则不计分。）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7.供应商业绩一览表.docx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价格分统一采用低价优先法计算，即满足磋商文件要求且磋商价格最低的最终磋商报价为磋商基准价，其价格分为满分。其他供应商的价格分统一按照下列公式计算： 磋商报价得分=(磋商基准价／最终磋商报价)×价格权值×100计算分数时四舍五入取小数点后两位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详见附件：2-1供应商资格证明资料（中小）.docx</w:t>
      </w:r>
    </w:p>
    <w:p>
      <w:pPr>
        <w:pStyle w:val="null3"/>
        <w:ind w:firstLine="960"/>
      </w:pPr>
      <w:r>
        <w:rPr>
          <w:rFonts w:ascii="仿宋_GB2312" w:hAnsi="仿宋_GB2312" w:cs="仿宋_GB2312" w:eastAsia="仿宋_GB2312"/>
        </w:rPr>
        <w:t>详见附件：3.商务和服务响应偏离表.docx</w:t>
      </w:r>
    </w:p>
    <w:p>
      <w:pPr>
        <w:pStyle w:val="null3"/>
        <w:ind w:firstLine="960"/>
      </w:pPr>
      <w:r>
        <w:rPr>
          <w:rFonts w:ascii="仿宋_GB2312" w:hAnsi="仿宋_GB2312" w:cs="仿宋_GB2312" w:eastAsia="仿宋_GB2312"/>
        </w:rPr>
        <w:t>详见附件：4项目需求分析及服务方案.docx</w:t>
      </w:r>
    </w:p>
    <w:p>
      <w:pPr>
        <w:pStyle w:val="null3"/>
        <w:ind w:firstLine="960"/>
      </w:pPr>
      <w:r>
        <w:rPr>
          <w:rFonts w:ascii="仿宋_GB2312" w:hAnsi="仿宋_GB2312" w:cs="仿宋_GB2312" w:eastAsia="仿宋_GB2312"/>
        </w:rPr>
        <w:t>详见附件：5.管理制度与应急预案.docx</w:t>
      </w:r>
    </w:p>
    <w:p>
      <w:pPr>
        <w:pStyle w:val="null3"/>
        <w:ind w:firstLine="960"/>
      </w:pPr>
      <w:r>
        <w:rPr>
          <w:rFonts w:ascii="仿宋_GB2312" w:hAnsi="仿宋_GB2312" w:cs="仿宋_GB2312" w:eastAsia="仿宋_GB2312"/>
        </w:rPr>
        <w:t>详见附件：6.保密方案.docx</w:t>
      </w:r>
    </w:p>
    <w:p>
      <w:pPr>
        <w:pStyle w:val="null3"/>
        <w:ind w:firstLine="960"/>
      </w:pPr>
      <w:r>
        <w:rPr>
          <w:rFonts w:ascii="仿宋_GB2312" w:hAnsi="仿宋_GB2312" w:cs="仿宋_GB2312" w:eastAsia="仿宋_GB2312"/>
        </w:rPr>
        <w:t>详见附件：7.供应商业绩一览表.docx</w:t>
      </w:r>
    </w:p>
    <w:p>
      <w:pPr>
        <w:pStyle w:val="null3"/>
        <w:ind w:firstLine="960"/>
      </w:pPr>
      <w:r>
        <w:rPr>
          <w:rFonts w:ascii="仿宋_GB2312" w:hAnsi="仿宋_GB2312" w:cs="仿宋_GB2312" w:eastAsia="仿宋_GB2312"/>
        </w:rPr>
        <w:t>详见附件：8.供应商承诺书.docx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