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8425F">
      <w:pPr>
        <w:pStyle w:val="3"/>
        <w:spacing w:line="360" w:lineRule="auto"/>
        <w:rPr>
          <w:rStyle w:val="6"/>
          <w:rFonts w:hint="default" w:ascii="Times New Roman" w:hAnsi="Times New Roman" w:eastAsia="宋体" w:cs="Times New Roman"/>
          <w:sz w:val="36"/>
          <w:szCs w:val="36"/>
        </w:rPr>
      </w:pPr>
      <w:bookmarkStart w:id="0" w:name="_Toc68590979"/>
      <w:r>
        <w:rPr>
          <w:rStyle w:val="6"/>
          <w:rFonts w:hint="default" w:ascii="Times New Roman" w:hAnsi="Times New Roman" w:eastAsia="宋体" w:cs="Times New Roman"/>
          <w:sz w:val="36"/>
          <w:szCs w:val="36"/>
        </w:rPr>
        <w:t xml:space="preserve">  </w:t>
      </w:r>
      <w:bookmarkEnd w:id="0"/>
      <w:r>
        <w:rPr>
          <w:rStyle w:val="6"/>
          <w:rFonts w:hint="default" w:ascii="Times New Roman" w:hAnsi="Times New Roman" w:eastAsia="宋体" w:cs="Times New Roman"/>
          <w:sz w:val="36"/>
          <w:szCs w:val="36"/>
        </w:rPr>
        <w:t>拟签订的合同文本</w:t>
      </w:r>
    </w:p>
    <w:p w14:paraId="716273BA">
      <w:pPr>
        <w:adjustRightInd w:val="0"/>
        <w:snapToGrid w:val="0"/>
        <w:spacing w:line="360" w:lineRule="auto"/>
        <w:ind w:firstLine="480" w:firstLineChars="200"/>
        <w:rPr>
          <w:rFonts w:hint="default" w:ascii="Times New Roman" w:hAnsi="Times New Roman" w:eastAsia="仿宋_GB2312" w:cs="Times New Roman"/>
          <w:sz w:val="24"/>
        </w:rPr>
      </w:pPr>
    </w:p>
    <w:p w14:paraId="376CDEE5">
      <w:pPr>
        <w:tabs>
          <w:tab w:val="left" w:pos="735"/>
        </w:tabs>
        <w:autoSpaceDE w:val="0"/>
        <w:autoSpaceDN w:val="0"/>
        <w:adjustRightInd w:val="0"/>
        <w:snapToGrid w:val="0"/>
        <w:spacing w:before="240" w:beforeLines="100" w:line="360" w:lineRule="auto"/>
        <w:rPr>
          <w:rFonts w:hint="default" w:ascii="Times New Roman" w:hAnsi="Times New Roman" w:eastAsia="仿宋_GB2312" w:cs="Times New Roman"/>
          <w:b/>
          <w:bCs/>
          <w:sz w:val="24"/>
          <w:lang w:val="zh-CN"/>
        </w:rPr>
      </w:pPr>
      <w:r>
        <w:rPr>
          <w:rFonts w:hint="default" w:ascii="Times New Roman" w:hAnsi="Times New Roman" w:eastAsia="仿宋_GB2312" w:cs="Times New Roman"/>
          <w:b/>
          <w:bCs/>
          <w:sz w:val="24"/>
          <w:lang w:val="zh-CN"/>
        </w:rPr>
        <w:t>甲方：</w:t>
      </w:r>
      <w:r>
        <w:rPr>
          <w:rFonts w:hint="default" w:ascii="Times New Roman" w:hAnsi="Times New Roman" w:eastAsia="仿宋_GB2312" w:cs="Times New Roman"/>
          <w:bCs/>
          <w:sz w:val="24"/>
          <w:lang w:val="zh-CN"/>
        </w:rPr>
        <w:t xml:space="preserve">（前款所称采购人）西安市儿童福利院 </w:t>
      </w:r>
      <w:r>
        <w:rPr>
          <w:rFonts w:hint="default" w:ascii="Times New Roman" w:hAnsi="Times New Roman" w:eastAsia="仿宋_GB2312" w:cs="Times New Roman"/>
          <w:bCs/>
          <w:sz w:val="24"/>
        </w:rPr>
        <w:t xml:space="preserve"> </w:t>
      </w:r>
      <w:r>
        <w:rPr>
          <w:rFonts w:hint="default" w:ascii="Times New Roman" w:hAnsi="Times New Roman" w:eastAsia="仿宋_GB2312" w:cs="Times New Roman"/>
          <w:bCs/>
          <w:sz w:val="24"/>
          <w:lang w:val="zh-CN"/>
        </w:rPr>
        <w:t>住所：西安市未央区新广路98号</w:t>
      </w:r>
    </w:p>
    <w:p w14:paraId="67F9FFB9">
      <w:pPr>
        <w:tabs>
          <w:tab w:val="left" w:pos="735"/>
        </w:tabs>
        <w:autoSpaceDE w:val="0"/>
        <w:autoSpaceDN w:val="0"/>
        <w:adjustRightInd w:val="0"/>
        <w:snapToGrid w:val="0"/>
        <w:spacing w:line="360" w:lineRule="auto"/>
        <w:rPr>
          <w:rFonts w:hint="default" w:ascii="Times New Roman" w:hAnsi="Times New Roman" w:eastAsia="仿宋_GB2312" w:cs="Times New Roman"/>
          <w:bCs/>
          <w:sz w:val="24"/>
          <w:lang w:val="zh-CN"/>
        </w:rPr>
      </w:pPr>
      <w:r>
        <w:rPr>
          <w:rFonts w:hint="default" w:ascii="Times New Roman" w:hAnsi="Times New Roman" w:eastAsia="仿宋_GB2312" w:cs="Times New Roman"/>
          <w:b/>
          <w:bCs/>
          <w:sz w:val="24"/>
          <w:lang w:val="zh-CN"/>
        </w:rPr>
        <w:t>乙方：</w:t>
      </w:r>
      <w:r>
        <w:rPr>
          <w:rFonts w:hint="default" w:ascii="Times New Roman" w:hAnsi="Times New Roman" w:eastAsia="仿宋_GB2312" w:cs="Times New Roman"/>
          <w:bCs/>
          <w:sz w:val="24"/>
          <w:lang w:val="zh-CN"/>
        </w:rPr>
        <w:t>（前款所称</w:t>
      </w:r>
      <w:r>
        <w:rPr>
          <w:rFonts w:hint="default" w:ascii="Times New Roman" w:hAnsi="Times New Roman" w:eastAsia="仿宋_GB2312" w:cs="Times New Roman"/>
          <w:bCs/>
          <w:sz w:val="24"/>
        </w:rPr>
        <w:t>成交供应商</w:t>
      </w:r>
      <w:r>
        <w:rPr>
          <w:rFonts w:hint="default" w:ascii="Times New Roman" w:hAnsi="Times New Roman" w:eastAsia="仿宋_GB2312" w:cs="Times New Roman"/>
          <w:bCs/>
          <w:sz w:val="24"/>
          <w:lang w:val="zh-CN"/>
        </w:rPr>
        <w:t xml:space="preserve">）     </w:t>
      </w:r>
      <w:r>
        <w:rPr>
          <w:rFonts w:hint="eastAsia" w:eastAsia="仿宋_GB2312" w:cs="Times New Roman"/>
          <w:bCs/>
          <w:sz w:val="24"/>
          <w:lang w:val="en-US" w:eastAsia="zh-CN"/>
        </w:rPr>
        <w:t xml:space="preserve">         </w:t>
      </w:r>
      <w:r>
        <w:rPr>
          <w:rFonts w:hint="default" w:ascii="Times New Roman" w:hAnsi="Times New Roman" w:eastAsia="仿宋_GB2312" w:cs="Times New Roman"/>
          <w:bCs/>
          <w:sz w:val="24"/>
          <w:lang w:val="zh-CN"/>
        </w:rPr>
        <w:t>住所：</w:t>
      </w:r>
    </w:p>
    <w:p w14:paraId="7CDCB83C">
      <w:pPr>
        <w:adjustRightInd w:val="0"/>
        <w:snapToGrid w:val="0"/>
        <w:spacing w:line="360" w:lineRule="auto"/>
        <w:ind w:firstLine="480" w:firstLineChars="200"/>
        <w:rPr>
          <w:rFonts w:hint="default" w:ascii="Times New Roman" w:hAnsi="Times New Roman" w:eastAsia="仿宋_GB2312" w:cs="Times New Roman"/>
          <w:sz w:val="24"/>
        </w:rPr>
      </w:pPr>
      <w:bookmarkStart w:id="1" w:name="_Toc19515384"/>
      <w:r>
        <w:rPr>
          <w:rFonts w:hint="default" w:ascii="Times New Roman" w:hAnsi="Times New Roman" w:eastAsia="仿宋_GB2312" w:cs="Times New Roman"/>
          <w:sz w:val="24"/>
        </w:rPr>
        <w:t>一、合同内容（标的、数量、质量等）</w:t>
      </w:r>
      <w:bookmarkEnd w:id="1"/>
      <w:r>
        <w:rPr>
          <w:rFonts w:hint="default" w:ascii="Times New Roman" w:hAnsi="Times New Roman" w:eastAsia="仿宋_GB2312" w:cs="Times New Roman"/>
          <w:sz w:val="24"/>
        </w:rPr>
        <w:t>：</w:t>
      </w:r>
    </w:p>
    <w:p w14:paraId="51B491D1">
      <w:pPr>
        <w:adjustRightInd w:val="0"/>
        <w:snapToGrid w:val="0"/>
        <w:spacing w:line="360" w:lineRule="auto"/>
        <w:ind w:firstLine="480" w:firstLineChars="200"/>
        <w:rPr>
          <w:rFonts w:hint="default" w:ascii="Times New Roman" w:hAnsi="Times New Roman" w:eastAsia="仿宋_GB2312" w:cs="Times New Roman"/>
          <w:sz w:val="24"/>
        </w:rPr>
      </w:pPr>
      <w:bookmarkStart w:id="2" w:name="_Toc19515385"/>
      <w:r>
        <w:rPr>
          <w:rFonts w:hint="default" w:ascii="Times New Roman" w:hAnsi="Times New Roman" w:eastAsia="仿宋_GB2312" w:cs="Times New Roman"/>
          <w:sz w:val="24"/>
        </w:rPr>
        <w:t>二、合同价款</w:t>
      </w:r>
      <w:bookmarkEnd w:id="2"/>
    </w:p>
    <w:p w14:paraId="59F148C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1、合同总价：</w:t>
      </w:r>
    </w:p>
    <w:p w14:paraId="07F7A43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2、合同总价包括：货物费、运输费（含保险费）等所有费用，甲方不再支付其他费用。未经甲方同意自行供货的不得进入结算价格，因此所产生的货款、运费及包装费等费用由乙方自行承担。</w:t>
      </w:r>
    </w:p>
    <w:p w14:paraId="5AD1E8A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3、本项目按照实际采购货物数量支付费用。</w:t>
      </w:r>
    </w:p>
    <w:p w14:paraId="7E439D4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实际结算金额</w:t>
      </w:r>
      <w:r>
        <w:rPr>
          <w:rFonts w:hint="eastAsia" w:eastAsia="仿宋_GB2312" w:cs="Times New Roman"/>
          <w:sz w:val="24"/>
          <w:lang w:val="en-US" w:eastAsia="zh-CN"/>
        </w:rPr>
        <w:t>=</w:t>
      </w:r>
      <w:r>
        <w:rPr>
          <w:rFonts w:hint="default" w:ascii="Times New Roman" w:hAnsi="Times New Roman" w:eastAsia="仿宋_GB2312" w:cs="Times New Roman"/>
          <w:sz w:val="24"/>
        </w:rPr>
        <w:t>∑(药品清单报价*实际采购数量)</w:t>
      </w:r>
    </w:p>
    <w:p w14:paraId="0A0EA0E0">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注：供货价格不高于陕西省药械集中采购网公布的价格。供货过程中按月据实结算，实际结算价格不得超过本次</w:t>
      </w:r>
      <w:r>
        <w:rPr>
          <w:rFonts w:hint="eastAsia" w:eastAsia="仿宋_GB2312" w:cs="Times New Roman"/>
          <w:sz w:val="24"/>
          <w:lang w:val="en-US" w:eastAsia="zh-CN"/>
        </w:rPr>
        <w:t>成交</w:t>
      </w:r>
      <w:r>
        <w:rPr>
          <w:rFonts w:hint="default" w:ascii="Times New Roman" w:hAnsi="Times New Roman" w:eastAsia="仿宋_GB2312" w:cs="Times New Roman"/>
          <w:sz w:val="24"/>
        </w:rPr>
        <w:t>价格。</w:t>
      </w:r>
    </w:p>
    <w:p w14:paraId="76987DD4">
      <w:pPr>
        <w:numPr>
          <w:ilvl w:val="0"/>
          <w:numId w:val="1"/>
        </w:numPr>
        <w:adjustRightInd w:val="0"/>
        <w:snapToGrid w:val="0"/>
        <w:spacing w:line="360" w:lineRule="auto"/>
        <w:ind w:firstLine="480" w:firstLineChars="200"/>
        <w:rPr>
          <w:rFonts w:hint="eastAsia" w:eastAsia="仿宋_GB2312" w:cs="Times New Roman"/>
          <w:sz w:val="24"/>
          <w:lang w:val="en-US" w:eastAsia="zh-CN"/>
        </w:rPr>
      </w:pPr>
      <w:r>
        <w:rPr>
          <w:rFonts w:hint="eastAsia" w:eastAsia="仿宋_GB2312" w:cs="Times New Roman"/>
          <w:sz w:val="24"/>
          <w:lang w:val="en-US" w:eastAsia="zh-CN"/>
        </w:rPr>
        <w:t>药品清单中的药品为采购人单位的常用药品，成交供应商需按照采购人的使用需求供货，供货药品名称、规格及品牌应与陕西省药械集中采购网目录一致。如遇所需药品生产企业及规格不符的情况双方友好协商替换，供货价格不高于陕西省药械集中采购网公布的价格。供货过程中按月据实结算，结算价格不得超过本次中标价格。</w:t>
      </w:r>
    </w:p>
    <w:p w14:paraId="7EF0747D">
      <w:pPr>
        <w:numPr>
          <w:ilvl w:val="0"/>
          <w:numId w:val="1"/>
        </w:numPr>
        <w:adjustRightInd w:val="0"/>
        <w:snapToGrid w:val="0"/>
        <w:spacing w:line="360" w:lineRule="auto"/>
        <w:ind w:firstLine="480" w:firstLineChars="200"/>
        <w:rPr>
          <w:rFonts w:hint="eastAsia" w:eastAsia="仿宋_GB2312" w:cs="Times New Roman"/>
          <w:sz w:val="24"/>
          <w:lang w:val="en-US" w:eastAsia="zh-CN"/>
        </w:rPr>
      </w:pPr>
      <w:r>
        <w:rPr>
          <w:rFonts w:hint="eastAsia" w:eastAsia="仿宋_GB2312" w:cs="Times New Roman"/>
          <w:sz w:val="24"/>
          <w:lang w:val="en-US" w:eastAsia="zh-CN"/>
        </w:rPr>
        <w:t>药品清单中未涉及到的药品，成交供应商应配合采购人进行配送，配送价格按照陕西省药械集中采购网公布的价格执行；采购人可以根据医院业务需要，追加采购品种，成交供应商必须无条件保质保量供货；</w:t>
      </w:r>
      <w:bookmarkStart w:id="11" w:name="_GoBack"/>
      <w:r>
        <w:rPr>
          <w:rFonts w:hint="eastAsia" w:eastAsia="仿宋_GB2312" w:cs="Times New Roman"/>
          <w:sz w:val="24"/>
          <w:lang w:val="en-US" w:eastAsia="zh-CN"/>
        </w:rPr>
        <w:t>供应商需提供加盖供应商公章的当期集采价格截图，使用当期集采价。</w:t>
      </w:r>
    </w:p>
    <w:bookmarkEnd w:id="11"/>
    <w:p w14:paraId="47514014">
      <w:pPr>
        <w:adjustRightInd w:val="0"/>
        <w:snapToGrid w:val="0"/>
        <w:spacing w:line="360" w:lineRule="auto"/>
        <w:ind w:firstLine="480" w:firstLineChars="200"/>
        <w:rPr>
          <w:rFonts w:hint="default" w:ascii="Times New Roman" w:hAnsi="Times New Roman" w:eastAsia="仿宋_GB2312" w:cs="Times New Roman"/>
          <w:sz w:val="24"/>
        </w:rPr>
      </w:pPr>
      <w:bookmarkStart w:id="3" w:name="_Toc19515386"/>
      <w:r>
        <w:rPr>
          <w:rFonts w:hint="default" w:ascii="Times New Roman" w:hAnsi="Times New Roman" w:eastAsia="仿宋_GB2312" w:cs="Times New Roman"/>
          <w:sz w:val="24"/>
        </w:rPr>
        <w:t>三、合同结算</w:t>
      </w:r>
      <w:bookmarkEnd w:id="3"/>
    </w:p>
    <w:p w14:paraId="7E5732D8">
      <w:pPr>
        <w:adjustRightInd w:val="0"/>
        <w:snapToGrid w:val="0"/>
        <w:spacing w:line="360" w:lineRule="auto"/>
        <w:ind w:firstLine="480" w:firstLineChars="200"/>
        <w:rPr>
          <w:rFonts w:hint="default" w:ascii="Times New Roman" w:hAnsi="Times New Roman" w:eastAsia="仿宋_GB2312" w:cs="Times New Roman"/>
          <w:sz w:val="24"/>
          <w:highlight w:val="none"/>
          <w:lang w:eastAsia="zh-CN"/>
        </w:rPr>
      </w:pPr>
      <w:bookmarkStart w:id="4" w:name="_Toc19515387"/>
      <w:r>
        <w:rPr>
          <w:rFonts w:hint="default" w:ascii="Times New Roman" w:hAnsi="Times New Roman" w:eastAsia="仿宋_GB2312" w:cs="Times New Roman"/>
          <w:sz w:val="24"/>
          <w:highlight w:val="none"/>
        </w:rPr>
        <w:t>1、付款比例：</w:t>
      </w:r>
      <w:r>
        <w:rPr>
          <w:rFonts w:hint="default" w:ascii="Times New Roman" w:hAnsi="Times New Roman" w:eastAsia="仿宋_GB2312" w:cs="Times New Roman"/>
          <w:sz w:val="24"/>
          <w:highlight w:val="none"/>
          <w:lang w:eastAsia="zh-CN"/>
        </w:rPr>
        <w:t>所有采购物品到达甲方指定地点并清点、验收合格后，甲方收到乙方发票日起</w:t>
      </w:r>
      <w:r>
        <w:rPr>
          <w:rFonts w:hint="eastAsia" w:eastAsia="仿宋_GB2312" w:cs="Times New Roman"/>
          <w:sz w:val="24"/>
          <w:highlight w:val="none"/>
          <w:lang w:val="en-US" w:eastAsia="zh-CN"/>
        </w:rPr>
        <w:t>15</w:t>
      </w:r>
      <w:r>
        <w:rPr>
          <w:rFonts w:hint="default" w:ascii="Times New Roman" w:hAnsi="Times New Roman" w:eastAsia="仿宋_GB2312" w:cs="Times New Roman"/>
          <w:sz w:val="24"/>
          <w:highlight w:val="none"/>
          <w:lang w:eastAsia="zh-CN"/>
        </w:rPr>
        <w:t>日内以</w:t>
      </w:r>
      <w:r>
        <w:rPr>
          <w:rFonts w:hint="eastAsia" w:eastAsia="仿宋_GB2312" w:cs="Times New Roman"/>
          <w:sz w:val="24"/>
          <w:highlight w:val="none"/>
          <w:lang w:val="en-US" w:eastAsia="zh-CN"/>
        </w:rPr>
        <w:t>转账</w:t>
      </w:r>
      <w:r>
        <w:rPr>
          <w:rFonts w:hint="default" w:ascii="Times New Roman" w:hAnsi="Times New Roman" w:eastAsia="仿宋_GB2312" w:cs="Times New Roman"/>
          <w:sz w:val="24"/>
          <w:highlight w:val="none"/>
          <w:lang w:eastAsia="zh-CN"/>
        </w:rPr>
        <w:t>形式向乙方结清药款；</w:t>
      </w:r>
    </w:p>
    <w:p w14:paraId="0C533EED">
      <w:pPr>
        <w:adjustRightInd w:val="0"/>
        <w:snapToGrid w:val="0"/>
        <w:spacing w:line="360" w:lineRule="auto"/>
        <w:ind w:firstLine="480" w:firstLineChars="200"/>
        <w:rPr>
          <w:rFonts w:hint="default" w:ascii="Times New Roman" w:hAnsi="Times New Roman" w:eastAsia="仿宋_GB2312" w:cs="Times New Roman"/>
          <w:sz w:val="24"/>
          <w:highlight w:val="none"/>
          <w:lang w:eastAsia="zh-CN"/>
        </w:rPr>
      </w:pPr>
      <w:r>
        <w:rPr>
          <w:rFonts w:hint="eastAsia" w:eastAsia="仿宋_GB2312" w:cs="Times New Roman"/>
          <w:sz w:val="24"/>
          <w:highlight w:val="none"/>
          <w:lang w:val="en-US" w:eastAsia="zh-CN"/>
        </w:rPr>
        <w:t>供货</w:t>
      </w:r>
      <w:r>
        <w:rPr>
          <w:rFonts w:hint="default" w:ascii="Times New Roman" w:hAnsi="Times New Roman" w:eastAsia="仿宋_GB2312" w:cs="Times New Roman"/>
          <w:sz w:val="24"/>
          <w:highlight w:val="none"/>
          <w:lang w:eastAsia="zh-CN"/>
        </w:rPr>
        <w:t>过程中按月据实结算，结算价格不得超过本次</w:t>
      </w:r>
      <w:r>
        <w:rPr>
          <w:rFonts w:hint="eastAsia" w:eastAsia="仿宋_GB2312" w:cs="Times New Roman"/>
          <w:sz w:val="24"/>
          <w:highlight w:val="none"/>
          <w:lang w:val="en-US" w:eastAsia="zh-CN"/>
        </w:rPr>
        <w:t>成交</w:t>
      </w:r>
      <w:r>
        <w:rPr>
          <w:rFonts w:hint="default" w:ascii="Times New Roman" w:hAnsi="Times New Roman" w:eastAsia="仿宋_GB2312" w:cs="Times New Roman"/>
          <w:sz w:val="24"/>
          <w:highlight w:val="none"/>
          <w:lang w:eastAsia="zh-CN"/>
        </w:rPr>
        <w:t>价格。</w:t>
      </w:r>
    </w:p>
    <w:p w14:paraId="2850013A">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highlight w:val="none"/>
        </w:rPr>
        <w:t>结算方式：银行转账，根据每次验收情况据实支付</w:t>
      </w:r>
      <w:r>
        <w:rPr>
          <w:rFonts w:hint="eastAsia" w:eastAsia="仿宋_GB2312" w:cs="Times New Roman"/>
          <w:sz w:val="24"/>
          <w:highlight w:val="none"/>
          <w:lang w:eastAsia="zh-CN"/>
        </w:rPr>
        <w:t>；合同签订后，根据每月的实际配送计算当月配送额，经合同双方确认结算金额，据实支付每月配送货款，</w:t>
      </w:r>
      <w:r>
        <w:rPr>
          <w:rFonts w:hint="default" w:ascii="Times New Roman" w:hAnsi="Times New Roman" w:eastAsia="仿宋_GB2312" w:cs="Times New Roman"/>
          <w:sz w:val="24"/>
        </w:rPr>
        <w:t>实际结算价格不得超过本次</w:t>
      </w:r>
      <w:r>
        <w:rPr>
          <w:rFonts w:hint="eastAsia" w:eastAsia="仿宋_GB2312" w:cs="Times New Roman"/>
          <w:sz w:val="24"/>
          <w:lang w:val="en-US" w:eastAsia="zh-CN"/>
        </w:rPr>
        <w:t>成交</w:t>
      </w:r>
      <w:r>
        <w:rPr>
          <w:rFonts w:hint="default" w:ascii="Times New Roman" w:hAnsi="Times New Roman" w:eastAsia="仿宋_GB2312" w:cs="Times New Roman"/>
          <w:sz w:val="24"/>
        </w:rPr>
        <w:t>价格。</w:t>
      </w:r>
    </w:p>
    <w:p w14:paraId="2BCF4C43">
      <w:pPr>
        <w:numPr>
          <w:ilvl w:val="0"/>
          <w:numId w:val="0"/>
        </w:numPr>
        <w:adjustRightInd w:val="0"/>
        <w:snapToGrid w:val="0"/>
        <w:spacing w:line="360" w:lineRule="auto"/>
        <w:ind w:firstLine="480" w:firstLineChars="200"/>
        <w:rPr>
          <w:rFonts w:hint="default" w:ascii="Times New Roman" w:hAnsi="Times New Roman" w:eastAsia="仿宋_GB2312" w:cs="Times New Roman"/>
          <w:sz w:val="24"/>
          <w:highlight w:val="none"/>
        </w:rPr>
      </w:pPr>
      <w:r>
        <w:rPr>
          <w:rFonts w:hint="default" w:ascii="Times New Roman" w:hAnsi="Times New Roman" w:eastAsia="仿宋_GB2312" w:cs="Times New Roman"/>
          <w:sz w:val="24"/>
          <w:highlight w:val="none"/>
        </w:rPr>
        <w:t>3、结算单位：由</w:t>
      </w:r>
      <w:r>
        <w:rPr>
          <w:rFonts w:hint="default" w:ascii="Times New Roman" w:hAnsi="Times New Roman" w:eastAsia="仿宋_GB2312" w:cs="Times New Roman"/>
          <w:sz w:val="24"/>
          <w:highlight w:val="none"/>
          <w:u w:val="single"/>
        </w:rPr>
        <w:t xml:space="preserve">         </w:t>
      </w:r>
      <w:r>
        <w:rPr>
          <w:rFonts w:hint="default" w:ascii="Times New Roman" w:hAnsi="Times New Roman" w:eastAsia="仿宋_GB2312" w:cs="Times New Roman"/>
          <w:sz w:val="24"/>
          <w:highlight w:val="none"/>
        </w:rPr>
        <w:t>负责结算，乙方开具合同总价数的全额发票交采购人。</w:t>
      </w:r>
    </w:p>
    <w:p w14:paraId="22DD679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四、履行期限、地点及方式</w:t>
      </w:r>
      <w:bookmarkEnd w:id="4"/>
      <w:r>
        <w:rPr>
          <w:rFonts w:hint="default" w:ascii="Times New Roman" w:hAnsi="Times New Roman" w:eastAsia="仿宋_GB2312" w:cs="Times New Roman"/>
          <w:sz w:val="24"/>
        </w:rPr>
        <w:t>：</w:t>
      </w:r>
    </w:p>
    <w:p w14:paraId="7C2EC79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1、履行期限：签订起至2026年12月31日</w:t>
      </w:r>
    </w:p>
    <w:p w14:paraId="08DDD71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2、地点：采购人</w:t>
      </w:r>
      <w:r>
        <w:rPr>
          <w:rFonts w:hint="eastAsia" w:eastAsia="仿宋_GB2312" w:cs="Times New Roman"/>
          <w:sz w:val="24"/>
          <w:lang w:eastAsia="zh-CN"/>
        </w:rPr>
        <w:t>（</w:t>
      </w:r>
      <w:r>
        <w:rPr>
          <w:rFonts w:hint="eastAsia" w:eastAsia="仿宋_GB2312" w:cs="Times New Roman"/>
          <w:sz w:val="24"/>
          <w:lang w:val="en-US" w:eastAsia="zh-CN"/>
        </w:rPr>
        <w:t>西安儿童福利院</w:t>
      </w:r>
      <w:r>
        <w:rPr>
          <w:rFonts w:hint="eastAsia" w:eastAsia="仿宋_GB2312" w:cs="Times New Roman"/>
          <w:sz w:val="24"/>
          <w:lang w:eastAsia="zh-CN"/>
        </w:rPr>
        <w:t>）</w:t>
      </w:r>
      <w:r>
        <w:rPr>
          <w:rFonts w:hint="default" w:ascii="Times New Roman" w:hAnsi="Times New Roman" w:eastAsia="仿宋_GB2312" w:cs="Times New Roman"/>
          <w:sz w:val="24"/>
        </w:rPr>
        <w:t>指定地点</w:t>
      </w:r>
    </w:p>
    <w:p w14:paraId="6CF5DE19">
      <w:pPr>
        <w:adjustRightInd w:val="0"/>
        <w:snapToGrid w:val="0"/>
        <w:spacing w:line="360" w:lineRule="auto"/>
        <w:ind w:firstLine="480" w:firstLineChars="200"/>
        <w:rPr>
          <w:rFonts w:hint="eastAsia" w:eastAsia="仿宋_GB2312" w:cs="Times New Roman"/>
          <w:sz w:val="24"/>
          <w:lang w:val="en-US" w:eastAsia="zh-CN"/>
        </w:rPr>
      </w:pPr>
      <w:r>
        <w:rPr>
          <w:rFonts w:hint="eastAsia" w:eastAsia="仿宋_GB2312" w:cs="Times New Roman"/>
          <w:sz w:val="24"/>
          <w:lang w:val="en-US" w:eastAsia="zh-CN"/>
        </w:rPr>
        <w:t>3、履约方式：</w:t>
      </w:r>
    </w:p>
    <w:p w14:paraId="656C893C">
      <w:pPr>
        <w:adjustRightInd w:val="0"/>
        <w:snapToGrid w:val="0"/>
        <w:spacing w:line="360" w:lineRule="auto"/>
        <w:ind w:firstLine="480" w:firstLineChars="200"/>
        <w:rPr>
          <w:rFonts w:hint="default" w:ascii="Times New Roman" w:hAnsi="Times New Roman" w:eastAsia="仿宋_GB2312" w:cs="Times New Roman"/>
          <w:sz w:val="24"/>
        </w:rPr>
      </w:pPr>
      <w:r>
        <w:rPr>
          <w:rFonts w:hint="eastAsia" w:ascii="Times New Roman" w:hAnsi="Times New Roman" w:eastAsia="仿宋_GB2312" w:cs="Times New Roman"/>
          <w:sz w:val="24"/>
        </w:rPr>
        <w:t>（一）乙方所供药品必须保证质量可靠、进货渠道正常，符合验收标准和要求。如出现质量问题，乙方应无条件给予更换。</w:t>
      </w:r>
    </w:p>
    <w:p w14:paraId="4FC29279">
      <w:pPr>
        <w:adjustRightInd w:val="0"/>
        <w:snapToGrid w:val="0"/>
        <w:spacing w:line="360" w:lineRule="auto"/>
        <w:ind w:firstLine="480" w:firstLineChars="200"/>
        <w:rPr>
          <w:rFonts w:hint="default" w:ascii="Times New Roman" w:hAnsi="Times New Roman" w:eastAsia="仿宋_GB2312" w:cs="Times New Roman"/>
          <w:sz w:val="24"/>
          <w:lang w:val="zh-CN"/>
        </w:rPr>
      </w:pPr>
      <w:r>
        <w:rPr>
          <w:rFonts w:hint="eastAsia" w:ascii="Times New Roman" w:hAnsi="Times New Roman" w:eastAsia="仿宋_GB2312" w:cs="Times New Roman"/>
          <w:sz w:val="24"/>
          <w:lang w:val="zh-CN"/>
        </w:rPr>
        <w:t>（二）</w:t>
      </w:r>
      <w:r>
        <w:rPr>
          <w:rFonts w:hint="eastAsia" w:ascii="Times New Roman" w:hAnsi="Times New Roman" w:eastAsia="仿宋_GB2312" w:cs="Times New Roman"/>
          <w:sz w:val="24"/>
        </w:rPr>
        <w:t>药品应当包装</w:t>
      </w:r>
      <w:r>
        <w:rPr>
          <w:rFonts w:hint="eastAsia" w:ascii="Times New Roman" w:hAnsi="Times New Roman" w:eastAsia="仿宋_GB2312" w:cs="Times New Roman"/>
          <w:sz w:val="24"/>
          <w:lang w:val="zh-CN"/>
        </w:rPr>
        <w:t>完好，无破漏，</w:t>
      </w:r>
      <w:r>
        <w:rPr>
          <w:rFonts w:hint="eastAsia" w:ascii="Times New Roman" w:hAnsi="Times New Roman" w:eastAsia="仿宋_GB2312" w:cs="Times New Roman"/>
          <w:sz w:val="24"/>
        </w:rPr>
        <w:t>符合药品包装运输要求</w:t>
      </w:r>
      <w:r>
        <w:rPr>
          <w:rFonts w:hint="eastAsia" w:ascii="Times New Roman" w:hAnsi="Times New Roman" w:eastAsia="仿宋_GB2312" w:cs="Times New Roman"/>
          <w:sz w:val="24"/>
          <w:lang w:val="zh-CN"/>
        </w:rPr>
        <w:t>，可视的内容物无影响使用的变型，不存在危及人身、财产安全的不合理危险。</w:t>
      </w:r>
    </w:p>
    <w:p w14:paraId="50A96C79">
      <w:pPr>
        <w:adjustRightInd w:val="0"/>
        <w:snapToGrid w:val="0"/>
        <w:spacing w:line="360" w:lineRule="auto"/>
        <w:ind w:firstLine="480" w:firstLineChars="200"/>
        <w:rPr>
          <w:rFonts w:hint="default" w:ascii="Times New Roman" w:hAnsi="Times New Roman" w:eastAsia="仿宋_GB2312" w:cs="Times New Roman"/>
          <w:sz w:val="24"/>
          <w:lang w:val="zh-CN"/>
        </w:rPr>
      </w:pPr>
      <w:r>
        <w:rPr>
          <w:rFonts w:hint="eastAsia" w:ascii="Times New Roman" w:hAnsi="Times New Roman" w:eastAsia="仿宋_GB2312" w:cs="Times New Roman"/>
          <w:sz w:val="24"/>
          <w:lang w:val="zh-CN"/>
        </w:rPr>
        <w:t>（三）乙方保证所提供货物符合国家</w:t>
      </w:r>
      <w:r>
        <w:rPr>
          <w:rFonts w:hint="eastAsia" w:ascii="Times New Roman" w:hAnsi="Times New Roman" w:eastAsia="仿宋_GB2312" w:cs="Times New Roman"/>
          <w:sz w:val="24"/>
        </w:rPr>
        <w:t>药品质量标准</w:t>
      </w:r>
      <w:r>
        <w:rPr>
          <w:rFonts w:hint="eastAsia" w:ascii="Times New Roman" w:hAnsi="Times New Roman" w:eastAsia="仿宋_GB2312" w:cs="Times New Roman"/>
          <w:sz w:val="24"/>
          <w:lang w:val="zh-CN"/>
        </w:rPr>
        <w:t>，并以较高的规范执行；交付时乙方向甲方提供产品检验合格证等相关证件，同时确保所提供的资料是真实的、完整的。</w:t>
      </w:r>
    </w:p>
    <w:p w14:paraId="500C1AB7">
      <w:pPr>
        <w:adjustRightInd w:val="0"/>
        <w:snapToGrid w:val="0"/>
        <w:spacing w:line="360" w:lineRule="auto"/>
        <w:ind w:firstLine="480" w:firstLineChars="200"/>
        <w:rPr>
          <w:rFonts w:hint="default" w:ascii="Times New Roman" w:hAnsi="Times New Roman" w:eastAsia="仿宋_GB2312" w:cs="Times New Roman"/>
          <w:sz w:val="24"/>
          <w:lang w:val="zh-CN"/>
        </w:rPr>
      </w:pPr>
      <w:r>
        <w:rPr>
          <w:rFonts w:hint="eastAsia" w:ascii="Times New Roman" w:hAnsi="Times New Roman" w:eastAsia="仿宋_GB2312" w:cs="Times New Roman"/>
          <w:sz w:val="24"/>
          <w:lang w:val="zh-CN"/>
        </w:rPr>
        <w:t>（四）若因</w:t>
      </w:r>
      <w:r>
        <w:rPr>
          <w:rFonts w:hint="eastAsia" w:ascii="Times New Roman" w:hAnsi="Times New Roman" w:eastAsia="仿宋_GB2312" w:cs="Times New Roman"/>
          <w:sz w:val="24"/>
        </w:rPr>
        <w:t>药品质量问题造成</w:t>
      </w:r>
      <w:r>
        <w:rPr>
          <w:rFonts w:hint="eastAsia" w:ascii="Times New Roman" w:hAnsi="Times New Roman" w:eastAsia="仿宋_GB2312" w:cs="Times New Roman"/>
          <w:sz w:val="24"/>
          <w:lang w:val="zh-CN"/>
        </w:rPr>
        <w:t>安全事故的，由乙方承担一切责任，同时甲方有权要求乙方承担因此造成的一切损失。</w:t>
      </w:r>
    </w:p>
    <w:p w14:paraId="7781E4D1">
      <w:pPr>
        <w:adjustRightInd w:val="0"/>
        <w:snapToGrid w:val="0"/>
        <w:spacing w:line="360" w:lineRule="auto"/>
        <w:ind w:firstLine="480" w:firstLineChars="200"/>
        <w:rPr>
          <w:rFonts w:hint="default" w:ascii="Times New Roman" w:hAnsi="Times New Roman" w:eastAsia="仿宋_GB2312" w:cs="Times New Roman"/>
          <w:sz w:val="24"/>
          <w:lang w:val="zh-CN"/>
        </w:rPr>
      </w:pPr>
      <w:r>
        <w:rPr>
          <w:rFonts w:hint="eastAsia" w:ascii="Times New Roman" w:hAnsi="Times New Roman" w:eastAsia="仿宋_GB2312" w:cs="Times New Roman"/>
          <w:sz w:val="24"/>
          <w:lang w:val="zh-CN"/>
        </w:rPr>
        <w:t>（五）供应商提供的物资必须达到国家规定的卫生安全标准，能够按有相应的质量检疫检验报告供</w:t>
      </w:r>
      <w:r>
        <w:rPr>
          <w:rFonts w:hint="eastAsia" w:ascii="Times New Roman" w:hAnsi="Times New Roman" w:eastAsia="仿宋_GB2312" w:cs="Times New Roman"/>
          <w:sz w:val="24"/>
        </w:rPr>
        <w:t>甲方</w:t>
      </w:r>
      <w:r>
        <w:rPr>
          <w:rFonts w:hint="eastAsia" w:ascii="Times New Roman" w:hAnsi="Times New Roman" w:eastAsia="仿宋_GB2312" w:cs="Times New Roman"/>
          <w:sz w:val="24"/>
          <w:lang w:val="zh-CN"/>
        </w:rPr>
        <w:t>随时抽查，抽查发现供应商提供的报告与本批次物资不符时，可以对该批货品提出拒收或退换货要求，并有权按照本合同的约定追究乙方的违约责任。</w:t>
      </w:r>
    </w:p>
    <w:p w14:paraId="7093347D">
      <w:pPr>
        <w:adjustRightInd w:val="0"/>
        <w:snapToGrid w:val="0"/>
        <w:spacing w:line="360" w:lineRule="auto"/>
        <w:ind w:firstLine="480" w:firstLineChars="200"/>
        <w:rPr>
          <w:rFonts w:hint="default" w:ascii="Times New Roman" w:hAnsi="Times New Roman" w:eastAsia="仿宋_GB2312" w:cs="Times New Roman"/>
          <w:sz w:val="24"/>
          <w:lang w:val="zh-CN"/>
        </w:rPr>
      </w:pPr>
      <w:r>
        <w:rPr>
          <w:rFonts w:hint="eastAsia" w:ascii="Times New Roman" w:hAnsi="Times New Roman" w:eastAsia="仿宋_GB2312" w:cs="Times New Roman"/>
          <w:sz w:val="24"/>
        </w:rPr>
        <w:t>（六）乙方所提供产品距生产日期剩余有效期</w:t>
      </w:r>
      <w:r>
        <w:rPr>
          <w:rFonts w:hint="eastAsia" w:eastAsia="仿宋_GB2312" w:cs="Times New Roman"/>
          <w:sz w:val="24"/>
          <w:lang w:val="en-US" w:eastAsia="zh-CN"/>
        </w:rPr>
        <w:t>不得</w:t>
      </w:r>
      <w:r>
        <w:rPr>
          <w:rFonts w:hint="eastAsia" w:ascii="Times New Roman" w:hAnsi="Times New Roman" w:eastAsia="仿宋_GB2312" w:cs="Times New Roman"/>
          <w:sz w:val="24"/>
        </w:rPr>
        <w:t>低于6个月，否则甲方有权要求退换，乙方费用自理。</w:t>
      </w:r>
    </w:p>
    <w:p w14:paraId="62543B20">
      <w:pPr>
        <w:adjustRightInd w:val="0"/>
        <w:snapToGrid w:val="0"/>
        <w:spacing w:line="360" w:lineRule="auto"/>
        <w:ind w:firstLine="480" w:firstLineChars="200"/>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zh-CN"/>
        </w:rPr>
        <w:t>（</w:t>
      </w:r>
      <w:r>
        <w:rPr>
          <w:rFonts w:hint="eastAsia" w:ascii="Times New Roman" w:hAnsi="Times New Roman" w:eastAsia="仿宋_GB2312" w:cs="Times New Roman"/>
          <w:sz w:val="24"/>
        </w:rPr>
        <w:t>七</w:t>
      </w:r>
      <w:r>
        <w:rPr>
          <w:rFonts w:hint="eastAsia" w:ascii="Times New Roman" w:hAnsi="Times New Roman" w:eastAsia="仿宋_GB2312" w:cs="Times New Roman"/>
          <w:sz w:val="24"/>
          <w:lang w:val="zh-CN"/>
        </w:rPr>
        <w:t>）如供应商提供的</w:t>
      </w:r>
      <w:r>
        <w:rPr>
          <w:rFonts w:hint="eastAsia" w:ascii="Times New Roman" w:hAnsi="Times New Roman" w:eastAsia="仿宋_GB2312" w:cs="Times New Roman"/>
          <w:sz w:val="24"/>
        </w:rPr>
        <w:t>药品</w:t>
      </w:r>
      <w:r>
        <w:rPr>
          <w:rFonts w:hint="eastAsia" w:ascii="Times New Roman" w:hAnsi="Times New Roman" w:eastAsia="仿宋_GB2312" w:cs="Times New Roman"/>
          <w:sz w:val="24"/>
          <w:lang w:val="zh-CN"/>
        </w:rPr>
        <w:t>，因自身质量问题而</w:t>
      </w:r>
      <w:r>
        <w:rPr>
          <w:rFonts w:hint="eastAsia" w:ascii="Times New Roman" w:hAnsi="Times New Roman" w:eastAsia="仿宋_GB2312" w:cs="Times New Roman"/>
          <w:sz w:val="24"/>
        </w:rPr>
        <w:t>造成</w:t>
      </w:r>
      <w:r>
        <w:rPr>
          <w:rFonts w:hint="eastAsia" w:ascii="Times New Roman" w:hAnsi="Times New Roman" w:eastAsia="仿宋_GB2312" w:cs="Times New Roman"/>
          <w:sz w:val="24"/>
          <w:lang w:val="zh-CN"/>
        </w:rPr>
        <w:t>采购</w:t>
      </w:r>
      <w:r>
        <w:rPr>
          <w:rFonts w:hint="eastAsia" w:ascii="Times New Roman" w:hAnsi="Times New Roman" w:eastAsia="仿宋_GB2312" w:cs="Times New Roman"/>
          <w:sz w:val="24"/>
        </w:rPr>
        <w:t>方采购人员及药品使用</w:t>
      </w:r>
      <w:r>
        <w:rPr>
          <w:rFonts w:hint="eastAsia" w:ascii="Times New Roman" w:hAnsi="Times New Roman" w:eastAsia="仿宋_GB2312" w:cs="Times New Roman"/>
          <w:sz w:val="24"/>
          <w:lang w:val="zh-CN"/>
        </w:rPr>
        <w:t>人员</w:t>
      </w:r>
      <w:r>
        <w:rPr>
          <w:rFonts w:hint="eastAsia" w:ascii="Times New Roman" w:hAnsi="Times New Roman" w:eastAsia="仿宋_GB2312" w:cs="Times New Roman"/>
          <w:sz w:val="24"/>
        </w:rPr>
        <w:t>人身（健康）损害和财产损失的</w:t>
      </w:r>
      <w:r>
        <w:rPr>
          <w:rFonts w:hint="eastAsia" w:ascii="Times New Roman" w:hAnsi="Times New Roman" w:eastAsia="仿宋_GB2312" w:cs="Times New Roman"/>
          <w:sz w:val="24"/>
          <w:lang w:val="zh-CN"/>
        </w:rPr>
        <w:t>，供应商</w:t>
      </w:r>
      <w:r>
        <w:rPr>
          <w:rFonts w:hint="eastAsia" w:ascii="Times New Roman" w:hAnsi="Times New Roman" w:eastAsia="仿宋_GB2312" w:cs="Times New Roman"/>
          <w:sz w:val="24"/>
        </w:rPr>
        <w:t>应当</w:t>
      </w:r>
      <w:r>
        <w:rPr>
          <w:rFonts w:hint="eastAsia" w:ascii="Times New Roman" w:hAnsi="Times New Roman" w:eastAsia="仿宋_GB2312" w:cs="Times New Roman"/>
          <w:sz w:val="24"/>
          <w:lang w:val="zh-CN"/>
        </w:rPr>
        <w:t>承担</w:t>
      </w:r>
      <w:r>
        <w:rPr>
          <w:rFonts w:hint="eastAsia" w:ascii="Times New Roman" w:hAnsi="Times New Roman" w:eastAsia="仿宋_GB2312" w:cs="Times New Roman"/>
          <w:sz w:val="24"/>
        </w:rPr>
        <w:t>全部</w:t>
      </w:r>
      <w:r>
        <w:rPr>
          <w:rFonts w:hint="eastAsia" w:ascii="Times New Roman" w:hAnsi="Times New Roman" w:eastAsia="仿宋_GB2312" w:cs="Times New Roman"/>
          <w:sz w:val="24"/>
          <w:lang w:val="zh-CN"/>
        </w:rPr>
        <w:t>的法律责任。</w:t>
      </w:r>
    </w:p>
    <w:p w14:paraId="4A7D898C">
      <w:pPr>
        <w:adjustRightInd w:val="0"/>
        <w:snapToGrid w:val="0"/>
        <w:spacing w:line="360" w:lineRule="auto"/>
        <w:ind w:firstLine="480" w:firstLineChars="200"/>
        <w:rPr>
          <w:rFonts w:hint="default" w:ascii="Times New Roman" w:hAnsi="Times New Roman" w:eastAsia="仿宋_GB2312" w:cs="Times New Roman"/>
          <w:sz w:val="24"/>
        </w:rPr>
      </w:pPr>
      <w:bookmarkStart w:id="5" w:name="_Toc19515390"/>
      <w:r>
        <w:rPr>
          <w:rFonts w:hint="default" w:ascii="Times New Roman" w:hAnsi="Times New Roman" w:eastAsia="仿宋_GB2312" w:cs="Times New Roman"/>
          <w:sz w:val="24"/>
        </w:rPr>
        <w:t>五、技术服务</w:t>
      </w:r>
      <w:bookmarkEnd w:id="5"/>
    </w:p>
    <w:p w14:paraId="518B18E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1、对技术服务的要求：</w:t>
      </w:r>
    </w:p>
    <w:p w14:paraId="26F946E9">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2、技术资料：</w:t>
      </w:r>
    </w:p>
    <w:p w14:paraId="4070C82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3、技术培训：</w:t>
      </w:r>
    </w:p>
    <w:p w14:paraId="044C383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3-1、培训内容：</w:t>
      </w:r>
    </w:p>
    <w:p w14:paraId="63F2B375">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3-2、培训地点：</w:t>
      </w:r>
    </w:p>
    <w:p w14:paraId="2E1FE3E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3-3、培训时间：</w:t>
      </w:r>
    </w:p>
    <w:p w14:paraId="1D22ABE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3-4、培训人数：</w:t>
      </w:r>
    </w:p>
    <w:p w14:paraId="7A620FB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3-5、培训费用：受训人员的食宿费、资料费、培训场地费、耗材（包括水电费等）费等已包含在合同总价中，甲方不再另行支付。</w:t>
      </w:r>
    </w:p>
    <w:p w14:paraId="3A53438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4、售后服务</w:t>
      </w:r>
    </w:p>
    <w:p w14:paraId="5D580F0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4-1、乙方在接到甲方电话通知后在</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小时内派出合格的服务人员到达现场进行服务，承担相应费用。</w:t>
      </w:r>
    </w:p>
    <w:p w14:paraId="43EA968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4-2、如果乙方在收到通知后两天内没有弥补缺陷，甲方可采取必要的补救措施，但其风险和费用将由乙方承担，甲方根据合同规定对乙方行使的其它权力不受影响。</w:t>
      </w:r>
    </w:p>
    <w:p w14:paraId="388C646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w:t>
      </w:r>
      <w:r>
        <w:rPr>
          <w:rFonts w:hint="eastAsia" w:eastAsia="仿宋_GB2312" w:cs="Times New Roman"/>
          <w:sz w:val="24"/>
          <w:lang w:val="en-US" w:eastAsia="zh-CN"/>
        </w:rPr>
        <w:t>3</w:t>
      </w:r>
      <w:r>
        <w:rPr>
          <w:rFonts w:hint="default" w:ascii="Times New Roman" w:hAnsi="Times New Roman" w:eastAsia="仿宋_GB2312" w:cs="Times New Roman"/>
          <w:sz w:val="24"/>
        </w:rPr>
        <w:t>、</w:t>
      </w:r>
      <w:r>
        <w:rPr>
          <w:rFonts w:hint="eastAsia" w:ascii="Times New Roman" w:hAnsi="Times New Roman" w:eastAsia="仿宋_GB2312" w:cs="Times New Roman"/>
          <w:sz w:val="24"/>
          <w:lang w:val="en-US" w:eastAsia="zh-CN"/>
        </w:rPr>
        <w:t>严格按采购人下达的采购计划完成配送，若存在特殊紧急产品(含临时采购药品)需要供货的，须在3小时内完成配送，一般药品配送时间原则上不超过48小时，最长不超过72小时，如遇不可抗力因素(冰雪、洪水灾害等)应协助采购人做好药品借调服务。成交供应商不得以任何借口(如无货，采购量少等)不执行采购人药品采购计划。对于不符合合同和质量要求的药品，供应方应及时更换。</w:t>
      </w:r>
      <w:r>
        <w:rPr>
          <w:rFonts w:hint="default" w:ascii="Times New Roman" w:hAnsi="Times New Roman" w:eastAsia="仿宋_GB2312" w:cs="Times New Roman"/>
          <w:sz w:val="24"/>
          <w:lang w:val="en-US" w:eastAsia="zh-CN"/>
        </w:rPr>
        <w:t xml:space="preserve"> </w:t>
      </w:r>
    </w:p>
    <w:p w14:paraId="734F81C0">
      <w:pPr>
        <w:adjustRightInd w:val="0"/>
        <w:snapToGrid w:val="0"/>
        <w:spacing w:line="360" w:lineRule="auto"/>
        <w:ind w:firstLine="480" w:firstLineChars="200"/>
        <w:rPr>
          <w:rFonts w:hint="default" w:ascii="Times New Roman" w:hAnsi="Times New Roman" w:eastAsia="仿宋_GB2312" w:cs="Times New Roman"/>
          <w:sz w:val="24"/>
        </w:rPr>
      </w:pPr>
      <w:bookmarkStart w:id="6" w:name="_Toc19515391"/>
      <w:r>
        <w:rPr>
          <w:rFonts w:hint="default" w:ascii="Times New Roman" w:hAnsi="Times New Roman" w:eastAsia="仿宋_GB2312" w:cs="Times New Roman"/>
          <w:sz w:val="24"/>
        </w:rPr>
        <w:t>六、验收</w:t>
      </w:r>
      <w:bookmarkEnd w:id="6"/>
    </w:p>
    <w:p w14:paraId="53233D1E">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1、验收：乙方完成服务内容后，向甲方提出验收申请，甲方接到乙方验收申请后组织验收（必要时可聘请相应专家或委托相应部门验收），验收合格后，出具使用验收合格证明。</w:t>
      </w:r>
    </w:p>
    <w:p w14:paraId="2DD51FC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2、最终验收：最终验收结果作为付款依据，乙方填写验收单，并向甲方提交实施过程中的所有资料，以便甲方日后管理和维护。</w:t>
      </w:r>
    </w:p>
    <w:p w14:paraId="2EBE185F">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3、质保期满后：由乙方出具质保期运行质量报告，若存在质量问题，应按相应规定协商处理。</w:t>
      </w:r>
    </w:p>
    <w:p w14:paraId="0B7D841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4、验收依据：</w:t>
      </w:r>
    </w:p>
    <w:p w14:paraId="5E2E5B53">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4-1、合同文本、合同附件、竞争性磋商文件、成交供应商的响应文件。</w:t>
      </w:r>
    </w:p>
    <w:p w14:paraId="1CA6EA9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4-2、国内相应的标准、规范。</w:t>
      </w:r>
    </w:p>
    <w:p w14:paraId="209189DC">
      <w:pPr>
        <w:adjustRightInd w:val="0"/>
        <w:snapToGrid w:val="0"/>
        <w:spacing w:line="360" w:lineRule="auto"/>
        <w:ind w:firstLine="480" w:firstLineChars="200"/>
        <w:rPr>
          <w:rFonts w:hint="default" w:ascii="Times New Roman" w:hAnsi="Times New Roman" w:eastAsia="仿宋_GB2312" w:cs="Times New Roman"/>
          <w:sz w:val="24"/>
        </w:rPr>
      </w:pPr>
      <w:bookmarkStart w:id="7" w:name="_Toc19515392"/>
      <w:r>
        <w:rPr>
          <w:rFonts w:hint="eastAsia" w:eastAsia="仿宋_GB2312" w:cs="Times New Roman"/>
          <w:sz w:val="24"/>
          <w:lang w:val="en-US" w:eastAsia="zh-CN"/>
        </w:rPr>
        <w:t>七</w:t>
      </w:r>
      <w:r>
        <w:rPr>
          <w:rFonts w:hint="default" w:ascii="Times New Roman" w:hAnsi="Times New Roman" w:eastAsia="仿宋_GB2312" w:cs="Times New Roman"/>
          <w:sz w:val="24"/>
        </w:rPr>
        <w:t>、违约责任</w:t>
      </w:r>
      <w:bookmarkEnd w:id="7"/>
    </w:p>
    <w:p w14:paraId="71395396">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1、按《中华人民共和国民法典》中的相关条款执行。</w:t>
      </w:r>
    </w:p>
    <w:p w14:paraId="64F370DD">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2、乙方履约延误</w:t>
      </w:r>
    </w:p>
    <w:p w14:paraId="61AC672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2-1、如乙方事先未征得甲方同意并得到甲方的谅解而单方面延迟执行合同，将按违约终止合同。</w:t>
      </w:r>
    </w:p>
    <w:p w14:paraId="75983BB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04BD89C">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3、违约终止合同：未按合同要求提供服务或不能满足技术要求，甲方会同监督机构有权终止合同，对乙方违约行为进行追究，同时按政府采购法的有关规定进行相应的处罚。</w:t>
      </w:r>
    </w:p>
    <w:p w14:paraId="689387FD">
      <w:pPr>
        <w:adjustRightInd w:val="0"/>
        <w:snapToGrid w:val="0"/>
        <w:spacing w:line="360" w:lineRule="auto"/>
        <w:ind w:firstLine="480" w:firstLineChars="200"/>
        <w:rPr>
          <w:rFonts w:hint="default" w:ascii="Times New Roman" w:hAnsi="Times New Roman" w:eastAsia="仿宋_GB2312" w:cs="Times New Roman"/>
          <w:sz w:val="24"/>
        </w:rPr>
      </w:pPr>
      <w:bookmarkStart w:id="8" w:name="_Toc19515393"/>
      <w:r>
        <w:rPr>
          <w:rFonts w:hint="eastAsia" w:eastAsia="仿宋_GB2312" w:cs="Times New Roman"/>
          <w:sz w:val="24"/>
          <w:lang w:val="en-US" w:eastAsia="zh-CN"/>
        </w:rPr>
        <w:t>八</w:t>
      </w:r>
      <w:r>
        <w:rPr>
          <w:rFonts w:hint="default" w:ascii="Times New Roman" w:hAnsi="Times New Roman" w:eastAsia="仿宋_GB2312" w:cs="Times New Roman"/>
          <w:sz w:val="24"/>
        </w:rPr>
        <w:t>、合同组成</w:t>
      </w:r>
      <w:bookmarkEnd w:id="8"/>
    </w:p>
    <w:p w14:paraId="50297AC4">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1、成交通知书</w:t>
      </w:r>
    </w:p>
    <w:p w14:paraId="792DE93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2、合同文件</w:t>
      </w:r>
    </w:p>
    <w:p w14:paraId="00499202">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3、国家相关规范及标准</w:t>
      </w:r>
    </w:p>
    <w:p w14:paraId="0FA08597">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4、竞争性磋商文件</w:t>
      </w:r>
    </w:p>
    <w:p w14:paraId="0DEC26D1">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5、成交供应商的响应文件</w:t>
      </w:r>
    </w:p>
    <w:p w14:paraId="0F2195D3">
      <w:pPr>
        <w:adjustRightInd w:val="0"/>
        <w:snapToGrid w:val="0"/>
        <w:spacing w:line="360" w:lineRule="auto"/>
        <w:ind w:firstLine="480" w:firstLineChars="200"/>
        <w:rPr>
          <w:rFonts w:hint="default" w:ascii="Times New Roman" w:hAnsi="Times New Roman" w:eastAsia="仿宋_GB2312" w:cs="Times New Roman"/>
          <w:sz w:val="24"/>
        </w:rPr>
      </w:pPr>
      <w:bookmarkStart w:id="9" w:name="_Toc19515394"/>
      <w:r>
        <w:rPr>
          <w:rFonts w:hint="eastAsia" w:eastAsia="仿宋_GB2312" w:cs="Times New Roman"/>
          <w:sz w:val="24"/>
          <w:lang w:val="en-US" w:eastAsia="zh-CN"/>
        </w:rPr>
        <w:t>九</w:t>
      </w:r>
      <w:r>
        <w:rPr>
          <w:rFonts w:hint="default" w:ascii="Times New Roman" w:hAnsi="Times New Roman" w:eastAsia="仿宋_GB2312" w:cs="Times New Roman"/>
          <w:sz w:val="24"/>
        </w:rPr>
        <w:t>、解决争议的方法</w:t>
      </w:r>
      <w:bookmarkEnd w:id="9"/>
    </w:p>
    <w:p w14:paraId="3281D2A9">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凡因本合同引起的或与本合同有关的争议，双方应友好协商解决。协商不成时，双方均同意采用以下第（  ）种争议解决方式：</w:t>
      </w:r>
    </w:p>
    <w:p w14:paraId="1DB442FC">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1、甲、乙双方均同意向（甲方所在地人民法院）提起诉讼。</w:t>
      </w:r>
    </w:p>
    <w:p w14:paraId="2793AAF5">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2、甲、乙双方均同意向（</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"http://www.baidu.com/s?wd=%E4%BB%B2%E8%A3%81%E5%A7%94%E5%91%98%E4%BC%9A&amp;tn=SE_PcZhidaonwhc_ngpagmjz&amp;rsv_dl=gh_pc_zhidao" \t "_blank" </w:instrText>
      </w:r>
      <w:r>
        <w:rPr>
          <w:rFonts w:hint="default" w:ascii="Times New Roman" w:hAnsi="Times New Roman" w:cs="Times New Roman"/>
        </w:rPr>
        <w:fldChar w:fldCharType="separate"/>
      </w:r>
      <w:r>
        <w:rPr>
          <w:rFonts w:hint="default" w:ascii="Times New Roman" w:hAnsi="Times New Roman" w:eastAsia="仿宋_GB2312" w:cs="Times New Roman"/>
          <w:kern w:val="0"/>
          <w:sz w:val="24"/>
        </w:rPr>
        <w:t>仲裁委员会</w:t>
      </w:r>
      <w:r>
        <w:rPr>
          <w:rFonts w:hint="default" w:ascii="Times New Roman" w:hAnsi="Times New Roman" w:eastAsia="仿宋_GB2312" w:cs="Times New Roman"/>
          <w:kern w:val="0"/>
          <w:sz w:val="24"/>
        </w:rPr>
        <w:fldChar w:fldCharType="end"/>
      </w:r>
      <w:r>
        <w:rPr>
          <w:rFonts w:hint="default" w:ascii="Times New Roman" w:hAnsi="Times New Roman" w:eastAsia="仿宋_GB2312" w:cs="Times New Roman"/>
          <w:kern w:val="0"/>
          <w:sz w:val="24"/>
        </w:rPr>
        <w:t>）提起仲裁。</w:t>
      </w:r>
    </w:p>
    <w:p w14:paraId="35FB2F83">
      <w:pPr>
        <w:adjustRightInd w:val="0"/>
        <w:snapToGrid w:val="0"/>
        <w:spacing w:line="360" w:lineRule="auto"/>
        <w:ind w:firstLine="480" w:firstLineChars="200"/>
        <w:rPr>
          <w:rFonts w:hint="default" w:ascii="Times New Roman" w:hAnsi="Times New Roman" w:eastAsia="仿宋_GB2312" w:cs="Times New Roman"/>
          <w:sz w:val="24"/>
        </w:rPr>
      </w:pPr>
      <w:bookmarkStart w:id="10" w:name="_Toc19515395"/>
      <w:r>
        <w:rPr>
          <w:rFonts w:hint="default" w:ascii="Times New Roman" w:hAnsi="Times New Roman" w:eastAsia="仿宋_GB2312" w:cs="Times New Roman"/>
          <w:sz w:val="24"/>
        </w:rPr>
        <w:t>十、合同生效及其它</w:t>
      </w:r>
      <w:bookmarkEnd w:id="10"/>
    </w:p>
    <w:p w14:paraId="6773DC77">
      <w:pPr>
        <w:widowControl/>
        <w:autoSpaceDE w:val="0"/>
        <w:autoSpaceDN w:val="0"/>
        <w:snapToGrid w:val="0"/>
        <w:spacing w:line="360" w:lineRule="auto"/>
        <w:ind w:right="-110"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1、合同未尽事宜、由甲、乙双方协商，作为合同补充，与原合同具有同等法律效力。</w:t>
      </w:r>
    </w:p>
    <w:p w14:paraId="76AD6572">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2、 本合同正本一式</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份，甲方、乙方双方分别执</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备案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份。</w:t>
      </w:r>
    </w:p>
    <w:p w14:paraId="6D69CC5D">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3、合同经甲乙双方盖章、签字后生效，合同签订地点为</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w:t>
      </w:r>
    </w:p>
    <w:p w14:paraId="7B572F79">
      <w:pPr>
        <w:widowControl/>
        <w:tabs>
          <w:tab w:val="left" w:pos="8391"/>
        </w:tabs>
        <w:autoSpaceDE w:val="0"/>
        <w:autoSpaceDN w:val="0"/>
        <w:snapToGrid w:val="0"/>
        <w:spacing w:line="360" w:lineRule="auto"/>
        <w:ind w:right="-69" w:firstLine="480" w:firstLineChars="200"/>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4、生效时间：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55A018F1">
      <w:pPr>
        <w:widowControl/>
        <w:tabs>
          <w:tab w:val="left" w:pos="8391"/>
        </w:tabs>
        <w:autoSpaceDE w:val="0"/>
        <w:autoSpaceDN w:val="0"/>
        <w:snapToGrid w:val="0"/>
        <w:spacing w:line="360" w:lineRule="auto"/>
        <w:ind w:right="-69" w:firstLine="840" w:firstLineChars="350"/>
        <w:textAlignment w:val="bottom"/>
        <w:rPr>
          <w:rFonts w:hint="default" w:ascii="Times New Roman" w:hAnsi="Times New Roman" w:eastAsia="仿宋_GB2312" w:cs="Times New Roman"/>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3192BA3F">
        <w:tblPrEx>
          <w:tblCellMar>
            <w:top w:w="0" w:type="dxa"/>
            <w:left w:w="108" w:type="dxa"/>
            <w:bottom w:w="0" w:type="dxa"/>
            <w:right w:w="108" w:type="dxa"/>
          </w:tblCellMar>
        </w:tblPrEx>
        <w:trPr>
          <w:jc w:val="center"/>
        </w:trPr>
        <w:tc>
          <w:tcPr>
            <w:tcW w:w="4643" w:type="dxa"/>
          </w:tcPr>
          <w:p w14:paraId="70DBF832">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甲方名称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4C49C0B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0456030E">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3876C488">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240AF1B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12FC5D9">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c>
          <w:tcPr>
            <w:tcW w:w="4643" w:type="dxa"/>
          </w:tcPr>
          <w:p w14:paraId="0EA0FEB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乙方名称</w:t>
            </w:r>
            <w:r>
              <w:rPr>
                <w:rFonts w:hint="default" w:ascii="Times New Roman" w:hAnsi="Times New Roman" w:eastAsia="仿宋_GB2312" w:cs="Times New Roman"/>
                <w:spacing w:val="-20"/>
                <w:kern w:val="0"/>
                <w:sz w:val="24"/>
              </w:rPr>
              <w:t>（盖章）</w:t>
            </w:r>
            <w:r>
              <w:rPr>
                <w:rFonts w:hint="default" w:ascii="Times New Roman" w:hAnsi="Times New Roman" w:eastAsia="仿宋_GB2312" w:cs="Times New Roman"/>
                <w:kern w:val="0"/>
                <w:sz w:val="24"/>
              </w:rPr>
              <w:t>：</w:t>
            </w:r>
          </w:p>
          <w:p w14:paraId="3C8ACFCC">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地址：</w:t>
            </w:r>
          </w:p>
          <w:p w14:paraId="226B6B11">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代表人（签字）：</w:t>
            </w:r>
          </w:p>
          <w:p w14:paraId="637A3D44">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电话：</w:t>
            </w:r>
          </w:p>
          <w:p w14:paraId="5E13F06D">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开户银行：</w:t>
            </w:r>
          </w:p>
          <w:p w14:paraId="3F32D27F">
            <w:pPr>
              <w:widowControl/>
              <w:autoSpaceDE w:val="0"/>
              <w:autoSpaceDN w:val="0"/>
              <w:snapToGrid w:val="0"/>
              <w:spacing w:line="360" w:lineRule="auto"/>
              <w:ind w:right="-154"/>
              <w:textAlignment w:val="bottom"/>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账号：</w:t>
            </w:r>
          </w:p>
        </w:tc>
      </w:tr>
    </w:tbl>
    <w:p w14:paraId="2576800A">
      <w:pPr>
        <w:autoSpaceDE w:val="0"/>
        <w:autoSpaceDN w:val="0"/>
        <w:adjustRightInd w:val="0"/>
        <w:spacing w:line="360" w:lineRule="auto"/>
        <w:jc w:val="left"/>
        <w:rPr>
          <w:rFonts w:hint="default" w:ascii="Times New Roman" w:hAnsi="Times New Roman" w:eastAsia="仿宋_GB2312" w:cs="Times New Roman"/>
          <w:b/>
          <w:bCs/>
          <w:sz w:val="32"/>
          <w:szCs w:val="32"/>
        </w:rPr>
      </w:pPr>
    </w:p>
    <w:p w14:paraId="1B2AE679">
      <w:pPr>
        <w:autoSpaceDE w:val="0"/>
        <w:autoSpaceDN w:val="0"/>
        <w:adjustRightInd w:val="0"/>
        <w:jc w:val="left"/>
        <w:rPr>
          <w:rFonts w:hint="default" w:ascii="Times New Roman" w:hAnsi="Times New Roman" w:eastAsia="仿宋_GB2312" w:cs="Times New Roman"/>
          <w:b/>
          <w:bCs/>
          <w:sz w:val="32"/>
          <w:szCs w:val="32"/>
        </w:rPr>
      </w:pPr>
    </w:p>
    <w:p w14:paraId="4E4B4007">
      <w:pPr>
        <w:pStyle w:val="2"/>
        <w:rPr>
          <w:rFonts w:hint="default" w:ascii="Times New Roman" w:hAnsi="Times New Roman" w:eastAsia="仿宋_GB2312" w:cs="Times New Roman"/>
        </w:rPr>
      </w:pPr>
    </w:p>
    <w:p w14:paraId="7E0CEC1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B2706"/>
    <w:multiLevelType w:val="singleLevel"/>
    <w:tmpl w:val="DEFB2706"/>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B2D8D"/>
    <w:rsid w:val="11DB2D8D"/>
    <w:rsid w:val="31BC7BEA"/>
    <w:rsid w:val="335A4284"/>
    <w:rsid w:val="41504915"/>
    <w:rsid w:val="4DF75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autoRedefine/>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2575</Words>
  <Characters>2614</Characters>
  <Lines>0</Lines>
  <Paragraphs>0</Paragraphs>
  <TotalTime>3</TotalTime>
  <ScaleCrop>false</ScaleCrop>
  <LinksUpToDate>false</LinksUpToDate>
  <CharactersWithSpaces>2671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2026-03-13T08:40:00Z</dcterms:created>
  <dc:creator>招标四部</dc:creator>
  <cp:lastModifiedBy>招标四部</cp:lastModifiedBy>
  <dcterms:modified xsi:type="dcterms:W3CDTF">2026-03-18T13:05:52Z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3211B0655D784E229DC083034DB88A1D_11</vt:lpwstr>
  </property>
  <property fmtid="{D5CDD505-2E9C-101B-9397-08002B2CF9AE}" pid="4" name="KSOTemplateDocerSaveRecord">
    <vt:lpwstr>eyJoZGlkIjoiYWRmNjk4OWM0ZmUyYWMzMjcxNzU1N2MzM2E4N2U1MDYiLCJ1c2VySWQiOiIyNDEwNjE3OTEifQ==</vt:lpwstr>
  </property>
</Properties>
</file>