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版本号：ZHZB-2026-22-320260306001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西安事变旧址-张学良公馆旧址抢险工程（变形监测）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ZHZB-2026-22-3</w:t>
      </w:r>
      <w:r>
        <w:br/>
      </w:r>
      <w:r>
        <w:br/>
      </w:r>
      <w:r>
        <w:br/>
      </w:r>
    </w:p>
    <w:p>
      <w:pPr>
        <w:pStyle w:val="null3"/>
        <w:jc w:val="center"/>
        <w:outlineLvl w:val="2"/>
      </w:pPr>
      <w:r>
        <w:rPr>
          <w:rFonts w:ascii="仿宋_GB2312" w:hAnsi="仿宋_GB2312" w:cs="仿宋_GB2312" w:eastAsia="仿宋_GB2312"/>
          <w:sz w:val="28"/>
          <w:b/>
        </w:rPr>
        <w:t>西安事变纪念馆</w:t>
      </w:r>
    </w:p>
    <w:p>
      <w:pPr>
        <w:pStyle w:val="null3"/>
        <w:jc w:val="center"/>
        <w:outlineLvl w:val="2"/>
      </w:pPr>
      <w:r>
        <w:rPr>
          <w:rFonts w:ascii="仿宋_GB2312" w:hAnsi="仿宋_GB2312" w:cs="仿宋_GB2312" w:eastAsia="仿宋_GB2312"/>
          <w:sz w:val="28"/>
          <w:b/>
        </w:rPr>
        <w:t>众合国际项目管理有限公司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众合国际项目管理有限公司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西安事变纪念馆</w:t>
      </w:r>
      <w:r>
        <w:rPr>
          <w:rFonts w:ascii="仿宋_GB2312" w:hAnsi="仿宋_GB2312" w:cs="仿宋_GB2312" w:eastAsia="仿宋_GB2312"/>
        </w:rPr>
        <w:t>委托，拟对</w:t>
      </w:r>
      <w:r>
        <w:rPr>
          <w:rFonts w:ascii="仿宋_GB2312" w:hAnsi="仿宋_GB2312" w:cs="仿宋_GB2312" w:eastAsia="仿宋_GB2312"/>
        </w:rPr>
        <w:t>西安事变旧址-张学良公馆旧址抢险工程（变形监测）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ZHZB-2026-22-3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西安事变旧址-张学良公馆旧址抢险工程（变形监测）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对张学良将军公馆进行变形监测，实时掌握其关键部位沉降量、沉降速率及不均匀沉降量与变化规律，提升风险预判精准度与应急响应时效性，确保张学良将军公馆建筑安全。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如下：（1）供应商的营业执照等证明文件，自然人的身份证明；（2）法定代表人参加磋商的，提供本人身份证复印件；法定代表人授权他人参加磋商的，提供法定代表人委托授权书并出示被授权代表的身份证复印件；（3）提供2023年度或2024年度经审计的财务会计报告或其提交响应文件截止时间前3个月内银行出具的资信证明。（4）税收缴纳证明：提供磋商截止时间前半年内任意一个月的纳税证明或完税证明，依法免税的单位应提供相关证明材料；（5）社会保障资金缴纳证明：提供磋商截止时间前半年内任意一个月的社会保障资金缴存单据或社保机构开具的社会保险参保缴费情况证明，依法不需要缴纳社会保障资金的单位应提供相关证明材料；（6）具备履行合同所必需的设备和专业技术能力的证明；（7）参加本次招标前3年内，在经营活动中没有重大违法记录的书面声明；（8）供应商未被“信用中国”网站列入失信被执行人、重大税收违法失信主体名单，未被“中国政府采购网”网站列入政府采购严重违法失信行为记录名单；（9）单位负责人为同一人或者存在直接控股、管理关系的不同供应商，不得参加同一合同项下的采购活动；（10）供应商需具备行政主管部门核发的甲级测绘资质（专业需包含工程测量）或工程勘察综合甲级资质或工程勘察专业（工程测量）甲级资质；（11）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西安事变纪念馆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西安市建国路69号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糜斌茹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029-87421001转726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众合国际项目管理有限公司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陕西省西安市莲湖区丰登南路3号1幢306室（丰庆公园北门往西200米PM中心三楼）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唐昊、王臻、王阿磊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15686470916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发展计划委员会计价格[2002]1980号文件及国家发展和改革委员会办公厅颁发的《关于降低部分建设项目收费标准规范收费行为等有关问题的通知》（发改价格[2011]534号）规定的标准收取，不足捌仟元按照捌仟元（¥8000.00元）收取。 代理服务费缴纳账户信息： 银行户名：众合国际项目管理有限公司 开户银行：西安银行股份有限公司高新四路支行 账 号：6110 1158 0000 0858 34</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西安事变纪念馆</w:t>
      </w:r>
      <w:r>
        <w:rPr>
          <w:rFonts w:ascii="仿宋_GB2312" w:hAnsi="仿宋_GB2312" w:cs="仿宋_GB2312" w:eastAsia="仿宋_GB2312"/>
        </w:rPr>
        <w:t>和</w:t>
      </w:r>
      <w:r>
        <w:rPr>
          <w:rFonts w:ascii="仿宋_GB2312" w:hAnsi="仿宋_GB2312" w:cs="仿宋_GB2312" w:eastAsia="仿宋_GB2312"/>
        </w:rPr>
        <w:t>众合国际项目管理有限公司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西安事变纪念馆</w:t>
      </w:r>
      <w:r>
        <w:rPr>
          <w:rFonts w:ascii="仿宋_GB2312" w:hAnsi="仿宋_GB2312" w:cs="仿宋_GB2312" w:eastAsia="仿宋_GB2312"/>
        </w:rPr>
        <w:t>负责解释。除上述磋商文件内容，其他内容由</w:t>
      </w:r>
      <w:r>
        <w:rPr>
          <w:rFonts w:ascii="仿宋_GB2312" w:hAnsi="仿宋_GB2312" w:cs="仿宋_GB2312" w:eastAsia="仿宋_GB2312"/>
        </w:rPr>
        <w:t>众合国际项目管理有限公司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西安事变纪念馆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众合国际项目管理有限公司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提供的服务最终验收达不到磋商文件要求和响应文件承诺及国家或行业标准，或在使用中发现采购人不能容忍的缺陷等，将视为验收不合格，供应商应在采购人要求的时间内无条件完善或要求赔付采购人损失。 2、若发现供应商有弄虚作假的，及在项目实施阶段故意或随意夸大服务，本项目合同解除，供应商赔偿采购人相应的损失。 3、验收标准：按竞争性磋商文件、响应文件及合同约定的各项技术、服务、安全标准的履约情况逐项进行验收确认。 4、验收合格后，填写验收单，双方盖章、签字生效。</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联系人：唐昊、王臻、王阿磊</w:t>
      </w:r>
    </w:p>
    <w:p>
      <w:pPr>
        <w:pStyle w:val="null3"/>
      </w:pPr>
      <w:r>
        <w:rPr>
          <w:rFonts w:ascii="仿宋_GB2312" w:hAnsi="仿宋_GB2312" w:cs="仿宋_GB2312" w:eastAsia="仿宋_GB2312"/>
        </w:rPr>
        <w:t>联系电话：15686470916</w:t>
      </w:r>
    </w:p>
    <w:p>
      <w:pPr>
        <w:pStyle w:val="null3"/>
      </w:pPr>
      <w:r>
        <w:rPr>
          <w:rFonts w:ascii="仿宋_GB2312" w:hAnsi="仿宋_GB2312" w:cs="仿宋_GB2312" w:eastAsia="仿宋_GB2312"/>
        </w:rPr>
        <w:t>地址：陕西省西安市莲湖区丰登南路3号1幢306室（丰庆公园北门往西200米PM中心三楼）</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对张学良将军公馆进行变形监测，实时掌握其关键部位沉降量、沉降速率及不均匀沉降量与变化规律，提升风险预判精准度与应急响应时效性，确保张学良将军公馆建筑安全。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西安事变旧址-张学良公馆旧址抢险工程（变形监测）</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标的名称：西安事变旧址-张学良公馆旧址抢险工程（变形监测）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b/>
                <w:color w:val="0000FF"/>
              </w:rPr>
              <w:t>一</w:t>
            </w:r>
            <w:r>
              <w:rPr>
                <w:rFonts w:ascii="仿宋_GB2312" w:hAnsi="仿宋_GB2312" w:cs="仿宋_GB2312" w:eastAsia="仿宋_GB2312"/>
                <w:sz w:val="20"/>
                <w:b/>
                <w:color w:val="0000FF"/>
              </w:rPr>
              <w:t>、服务内容</w:t>
            </w:r>
          </w:p>
          <w:p>
            <w:pPr>
              <w:pStyle w:val="null3"/>
              <w:ind w:firstLine="420"/>
            </w:pPr>
            <w:r>
              <w:rPr>
                <w:rFonts w:ascii="仿宋_GB2312" w:hAnsi="仿宋_GB2312" w:cs="仿宋_GB2312" w:eastAsia="仿宋_GB2312"/>
                <w:sz w:val="20"/>
                <w:color w:val="0000FF"/>
              </w:rPr>
              <w:t>本项目主要服务内容如下：</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1）</w:t>
            </w:r>
            <w:r>
              <w:rPr>
                <w:rFonts w:ascii="仿宋_GB2312" w:hAnsi="仿宋_GB2312" w:cs="仿宋_GB2312" w:eastAsia="仿宋_GB2312"/>
                <w:sz w:val="20"/>
                <w:color w:val="0000FF"/>
              </w:rPr>
              <w:t>安装自动化监测设备：静力水准仪沉降监测设备、裂缝监测设备、倾角监测设备；</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2）</w:t>
            </w:r>
            <w:r>
              <w:rPr>
                <w:rFonts w:ascii="仿宋_GB2312" w:hAnsi="仿宋_GB2312" w:cs="仿宋_GB2312" w:eastAsia="仿宋_GB2312"/>
                <w:sz w:val="20"/>
                <w:color w:val="0000FF"/>
              </w:rPr>
              <w:t>常规监测频次为一天</w:t>
            </w:r>
            <w:r>
              <w:rPr>
                <w:rFonts w:ascii="仿宋_GB2312" w:hAnsi="仿宋_GB2312" w:cs="仿宋_GB2312" w:eastAsia="仿宋_GB2312"/>
                <w:sz w:val="20"/>
                <w:color w:val="0000FF"/>
              </w:rPr>
              <w:t>1次，可根据项目实际需求实时调整；</w:t>
            </w:r>
          </w:p>
          <w:p>
            <w:pPr>
              <w:pStyle w:val="null3"/>
              <w:ind w:firstLine="400"/>
            </w:pPr>
            <w:r>
              <w:rPr>
                <w:rFonts w:ascii="仿宋_GB2312" w:hAnsi="仿宋_GB2312" w:cs="仿宋_GB2312" w:eastAsia="仿宋_GB2312"/>
                <w:sz w:val="20"/>
                <w:color w:val="0000FF"/>
              </w:rPr>
              <w:t>（</w:t>
            </w:r>
            <w:r>
              <w:rPr>
                <w:rFonts w:ascii="仿宋_GB2312" w:hAnsi="仿宋_GB2312" w:cs="仿宋_GB2312" w:eastAsia="仿宋_GB2312"/>
                <w:sz w:val="20"/>
                <w:color w:val="0000FF"/>
              </w:rPr>
              <w:t>3）</w:t>
            </w:r>
            <w:r>
              <w:rPr>
                <w:rFonts w:ascii="仿宋_GB2312" w:hAnsi="仿宋_GB2312" w:cs="仿宋_GB2312" w:eastAsia="仿宋_GB2312"/>
                <w:sz w:val="20"/>
                <w:color w:val="0000FF"/>
              </w:rPr>
              <w:t>每日出具变形监测成果简报（日报），每月出具变形监测成果月报（月报），并于项目结束后出具总报告（总报告）。</w:t>
            </w:r>
          </w:p>
          <w:p>
            <w:pPr>
              <w:pStyle w:val="null3"/>
              <w:ind w:firstLine="420"/>
            </w:pPr>
            <w:r>
              <w:rPr>
                <w:rFonts w:ascii="仿宋_GB2312" w:hAnsi="仿宋_GB2312" w:cs="仿宋_GB2312" w:eastAsia="仿宋_GB2312"/>
                <w:sz w:val="20"/>
                <w:color w:val="0000FF"/>
              </w:rPr>
              <w:t>具体工作量及参数要求见下表</w:t>
            </w:r>
          </w:p>
          <w:tbl>
            <w:tblPr>
              <w:tblBorders>
                <w:top w:val="none" w:color="000000" w:sz="4"/>
                <w:left w:val="none" w:color="000000" w:sz="4"/>
                <w:bottom w:val="none" w:color="000000" w:sz="4"/>
                <w:right w:val="none" w:color="000000" w:sz="4"/>
                <w:insideH w:val="none"/>
                <w:insideV w:val="none"/>
              </w:tblBorders>
            </w:tblPr>
            <w:tblGrid>
              <w:gridCol w:w="200"/>
              <w:gridCol w:w="412"/>
              <w:gridCol w:w="417"/>
              <w:gridCol w:w="221"/>
              <w:gridCol w:w="221"/>
              <w:gridCol w:w="1081"/>
            </w:tblGrid>
            <w:tr>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序号</w:t>
                  </w:r>
                </w:p>
              </w:tc>
              <w:tc>
                <w:tcPr>
                  <w:tcW w:type="dxa" w:w="829"/>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名称</w:t>
                  </w:r>
                </w:p>
              </w:tc>
              <w:tc>
                <w:tcPr>
                  <w:tcW w:type="dxa" w:w="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单位</w:t>
                  </w:r>
                </w:p>
              </w:tc>
              <w:tc>
                <w:tcPr>
                  <w:tcW w:type="dxa" w:w="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数量</w:t>
                  </w:r>
                </w:p>
              </w:tc>
              <w:tc>
                <w:tcPr>
                  <w:tcW w:type="dxa" w:w="10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技术要求</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4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硬件设备及安装</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静力水准仪</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23</w:t>
                  </w:r>
                </w:p>
              </w:tc>
              <w:tc>
                <w:tcPr>
                  <w:tcW w:type="dxa" w:w="10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量程：</w:t>
                  </w:r>
                  <w:r>
                    <w:rPr>
                      <w:rFonts w:ascii="仿宋_GB2312" w:hAnsi="仿宋_GB2312" w:cs="仿宋_GB2312" w:eastAsia="仿宋_GB2312"/>
                      <w:sz w:val="20"/>
                      <w:color w:val="0000FF"/>
                    </w:rPr>
                    <w:t>1000mm，精度：0.1%FS，含储液罐、连接水管、导气管、安装支架保护罩、防冻液及线缆，采集仪自供电</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412"/>
                  <w:vMerge/>
                  <w:tcBorders>
                    <w:top w:val="none" w:color="000000" w:sz="4"/>
                    <w:left w:val="single" w:color="000000" w:sz="4"/>
                    <w:bottom w:val="single" w:color="000000" w:sz="4"/>
                    <w:right w:val="single" w:color="000000" w:sz="4"/>
                  </w:tcBorders>
                </w:tcP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裂缝计</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8</w:t>
                  </w:r>
                </w:p>
              </w:tc>
              <w:tc>
                <w:tcPr>
                  <w:tcW w:type="dxa" w:w="10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量程：</w:t>
                  </w:r>
                  <w:r>
                    <w:rPr>
                      <w:rFonts w:ascii="仿宋_GB2312" w:hAnsi="仿宋_GB2312" w:cs="仿宋_GB2312" w:eastAsia="仿宋_GB2312"/>
                      <w:sz w:val="20"/>
                      <w:color w:val="0000FF"/>
                    </w:rPr>
                    <w:t>100mm，精度：0.1mm，含支架保护罩，采集仪供电</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w:t>
                  </w:r>
                </w:p>
              </w:tc>
              <w:tc>
                <w:tcPr>
                  <w:tcW w:type="dxa" w:w="412"/>
                  <w:vMerge/>
                  <w:tcBorders>
                    <w:top w:val="none" w:color="000000" w:sz="4"/>
                    <w:left w:val="single" w:color="000000" w:sz="4"/>
                    <w:bottom w:val="single" w:color="000000" w:sz="4"/>
                    <w:right w:val="single" w:color="000000" w:sz="4"/>
                  </w:tcBorders>
                </w:tcP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低功耗无线倾斜仪</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c>
                <w:tcPr>
                  <w:tcW w:type="dxa" w:w="10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精度：</w:t>
                  </w:r>
                  <w:r>
                    <w:rPr>
                      <w:rFonts w:ascii="仿宋_GB2312" w:hAnsi="仿宋_GB2312" w:cs="仿宋_GB2312" w:eastAsia="仿宋_GB2312"/>
                      <w:sz w:val="20"/>
                      <w:color w:val="0000FF"/>
                    </w:rPr>
                    <w:t>0.005°，分辨率：0.001°，量程：双轴±30°，每天采集两次，至少用3年。4G上传到云端,内置电池供电</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c>
                <w:tcPr>
                  <w:tcW w:type="dxa" w:w="412"/>
                  <w:vMerge/>
                  <w:tcBorders>
                    <w:top w:val="none" w:color="000000" w:sz="4"/>
                    <w:left w:val="single" w:color="000000" w:sz="4"/>
                    <w:bottom w:val="single" w:color="000000" w:sz="4"/>
                    <w:right w:val="single" w:color="000000" w:sz="4"/>
                  </w:tcBorders>
                </w:tcP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分布式数据采集节点</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w:t>
                  </w:r>
                </w:p>
              </w:tc>
              <w:tc>
                <w:tcPr>
                  <w:tcW w:type="dxa" w:w="10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常规，</w:t>
                  </w:r>
                  <w:r>
                    <w:rPr>
                      <w:rFonts w:ascii="仿宋_GB2312" w:hAnsi="仿宋_GB2312" w:cs="仿宋_GB2312" w:eastAsia="仿宋_GB2312"/>
                      <w:sz w:val="20"/>
                      <w:color w:val="0000FF"/>
                    </w:rPr>
                    <w:t>8通道数字、振弦，可混接</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w:t>
                  </w:r>
                </w:p>
              </w:tc>
              <w:tc>
                <w:tcPr>
                  <w:tcW w:type="dxa" w:w="4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数据采集</w:t>
                  </w: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静力水准仪数据采集</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点</w:t>
                  </w:r>
                  <w:r>
                    <w:rPr>
                      <w:rFonts w:ascii="仿宋_GB2312" w:hAnsi="仿宋_GB2312" w:cs="仿宋_GB2312" w:eastAsia="仿宋_GB2312"/>
                      <w:sz w:val="20"/>
                      <w:color w:val="0000FF"/>
                    </w:rPr>
                    <w:t>·年</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23</w:t>
                  </w:r>
                </w:p>
              </w:tc>
              <w:tc>
                <w:tcPr>
                  <w:tcW w:type="dxa" w:w="10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监测频次不低于</w:t>
                  </w:r>
                  <w:r>
                    <w:rPr>
                      <w:rFonts w:ascii="仿宋_GB2312" w:hAnsi="仿宋_GB2312" w:cs="仿宋_GB2312" w:eastAsia="仿宋_GB2312"/>
                      <w:sz w:val="20"/>
                      <w:color w:val="0000FF"/>
                    </w:rPr>
                    <w:t>1 天 1 次</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412"/>
                  <w:vMerge/>
                  <w:tcBorders>
                    <w:top w:val="none" w:color="000000" w:sz="4"/>
                    <w:left w:val="single" w:color="000000" w:sz="4"/>
                    <w:bottom w:val="single" w:color="000000" w:sz="4"/>
                    <w:right w:val="single" w:color="000000" w:sz="4"/>
                  </w:tcBorders>
                </w:tcP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裂缝计数据采集</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点</w:t>
                  </w:r>
                  <w:r>
                    <w:rPr>
                      <w:rFonts w:ascii="仿宋_GB2312" w:hAnsi="仿宋_GB2312" w:cs="仿宋_GB2312" w:eastAsia="仿宋_GB2312"/>
                      <w:sz w:val="20"/>
                      <w:color w:val="0000FF"/>
                    </w:rPr>
                    <w:t>·年</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8</w:t>
                  </w:r>
                </w:p>
              </w:tc>
              <w:tc>
                <w:tcPr>
                  <w:tcW w:type="dxa" w:w="10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监测频次不低于</w:t>
                  </w:r>
                  <w:r>
                    <w:rPr>
                      <w:rFonts w:ascii="仿宋_GB2312" w:hAnsi="仿宋_GB2312" w:cs="仿宋_GB2312" w:eastAsia="仿宋_GB2312"/>
                      <w:sz w:val="20"/>
                      <w:color w:val="0000FF"/>
                    </w:rPr>
                    <w:t>1 天 1 次</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7</w:t>
                  </w:r>
                </w:p>
              </w:tc>
              <w:tc>
                <w:tcPr>
                  <w:tcW w:type="dxa" w:w="412"/>
                  <w:vMerge/>
                  <w:tcBorders>
                    <w:top w:val="none" w:color="000000" w:sz="4"/>
                    <w:left w:val="single" w:color="000000" w:sz="4"/>
                    <w:bottom w:val="single" w:color="000000" w:sz="4"/>
                    <w:right w:val="single" w:color="000000" w:sz="4"/>
                  </w:tcBorders>
                </w:tcPr>
                <w:p/>
              </w:tc>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倾角计数据采集</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点</w:t>
                  </w:r>
                  <w:r>
                    <w:rPr>
                      <w:rFonts w:ascii="仿宋_GB2312" w:hAnsi="仿宋_GB2312" w:cs="仿宋_GB2312" w:eastAsia="仿宋_GB2312"/>
                      <w:sz w:val="20"/>
                      <w:color w:val="0000FF"/>
                    </w:rPr>
                    <w:t>·年</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c>
                <w:tcPr>
                  <w:tcW w:type="dxa" w:w="10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监测频次不低于</w:t>
                  </w:r>
                  <w:r>
                    <w:rPr>
                      <w:rFonts w:ascii="仿宋_GB2312" w:hAnsi="仿宋_GB2312" w:cs="仿宋_GB2312" w:eastAsia="仿宋_GB2312"/>
                      <w:sz w:val="20"/>
                      <w:color w:val="0000FF"/>
                    </w:rPr>
                    <w:t>1 天 1 次</w:t>
                  </w:r>
                </w:p>
              </w:tc>
            </w:tr>
          </w:tbl>
          <w:p>
            <w:pPr>
              <w:pStyle w:val="null3"/>
              <w:spacing w:after="120"/>
              <w:jc w:val="both"/>
            </w:pPr>
            <w:r>
              <w:rPr>
                <w:rFonts w:ascii="仿宋_GB2312" w:hAnsi="仿宋_GB2312" w:cs="仿宋_GB2312" w:eastAsia="仿宋_GB2312"/>
                <w:sz w:val="20"/>
                <w:b/>
                <w:color w:val="0000FF"/>
              </w:rPr>
              <w:t>二</w:t>
            </w:r>
            <w:r>
              <w:rPr>
                <w:rFonts w:ascii="仿宋_GB2312" w:hAnsi="仿宋_GB2312" w:cs="仿宋_GB2312" w:eastAsia="仿宋_GB2312"/>
                <w:sz w:val="20"/>
                <w:b/>
                <w:color w:val="0000FF"/>
              </w:rPr>
              <w:t>、服务要求</w:t>
            </w:r>
          </w:p>
          <w:p>
            <w:pPr>
              <w:pStyle w:val="null3"/>
              <w:ind w:firstLine="400"/>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1）观测点标识应符合文物保护、美观形象等各项要求；</w:t>
            </w:r>
          </w:p>
          <w:p>
            <w:pPr>
              <w:pStyle w:val="null3"/>
              <w:ind w:firstLine="400"/>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2）在监测期间如遇到特殊情况，供应商应及时到场并提供专业性建议；</w:t>
            </w:r>
          </w:p>
          <w:p>
            <w:pPr>
              <w:pStyle w:val="null3"/>
              <w:ind w:firstLine="400"/>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3）质保期：仪器设备安装完成、系统正常运行后一年；</w:t>
            </w:r>
          </w:p>
          <w:p>
            <w:pPr>
              <w:pStyle w:val="null3"/>
              <w:ind w:firstLine="400"/>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4）质量要求：符合国家（或行业）规定的标准；</w:t>
            </w:r>
          </w:p>
          <w:p>
            <w:pPr>
              <w:pStyle w:val="null3"/>
              <w:ind w:firstLine="400"/>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5）监测工作结束后，向采购人提交符合规范要求的技术成果报告。</w:t>
            </w:r>
          </w:p>
          <w:p>
            <w:pPr>
              <w:pStyle w:val="null3"/>
              <w:spacing w:after="120"/>
              <w:jc w:val="both"/>
            </w:pPr>
            <w:r>
              <w:rPr>
                <w:rFonts w:ascii="仿宋_GB2312" w:hAnsi="仿宋_GB2312" w:cs="仿宋_GB2312" w:eastAsia="仿宋_GB2312"/>
                <w:sz w:val="20"/>
                <w:b/>
                <w:color w:val="0000FF"/>
              </w:rPr>
              <w:t>三</w:t>
            </w:r>
            <w:r>
              <w:rPr>
                <w:rFonts w:ascii="仿宋_GB2312" w:hAnsi="仿宋_GB2312" w:cs="仿宋_GB2312" w:eastAsia="仿宋_GB2312"/>
                <w:sz w:val="20"/>
                <w:b/>
                <w:color w:val="0000FF"/>
              </w:rPr>
              <w:t>、</w:t>
            </w:r>
            <w:r>
              <w:rPr>
                <w:rFonts w:ascii="仿宋_GB2312" w:hAnsi="仿宋_GB2312" w:cs="仿宋_GB2312" w:eastAsia="仿宋_GB2312"/>
                <w:sz w:val="20"/>
                <w:b/>
                <w:color w:val="0000FF"/>
              </w:rPr>
              <w:t>服务、产品（如有）执行的标准、规范：</w:t>
            </w:r>
          </w:p>
          <w:p>
            <w:pPr>
              <w:pStyle w:val="null3"/>
              <w:ind w:firstLine="400"/>
            </w:pPr>
            <w:r>
              <w:rPr>
                <w:rFonts w:ascii="仿宋_GB2312" w:hAnsi="仿宋_GB2312" w:cs="仿宋_GB2312" w:eastAsia="仿宋_GB2312"/>
                <w:sz w:val="20"/>
                <w:color w:val="0000FF"/>
              </w:rPr>
              <w:t>需达到但不限于下列现行主要的中华人民共和国以及省、市或行业的沉降观测技术标准或规范的要求：</w:t>
            </w:r>
          </w:p>
          <w:p>
            <w:pPr>
              <w:pStyle w:val="null3"/>
              <w:ind w:firstLine="400"/>
            </w:pPr>
            <w:r>
              <w:rPr>
                <w:rFonts w:ascii="仿宋_GB2312" w:hAnsi="仿宋_GB2312" w:cs="仿宋_GB2312" w:eastAsia="仿宋_GB2312"/>
                <w:sz w:val="20"/>
                <w:color w:val="0000FF"/>
              </w:rPr>
              <w:t>1、《中华人民共和国文物保护法》；</w:t>
            </w:r>
          </w:p>
          <w:p>
            <w:pPr>
              <w:pStyle w:val="null3"/>
              <w:ind w:firstLine="400"/>
            </w:pPr>
            <w:r>
              <w:rPr>
                <w:rFonts w:ascii="仿宋_GB2312" w:hAnsi="仿宋_GB2312" w:cs="仿宋_GB2312" w:eastAsia="仿宋_GB2312"/>
                <w:sz w:val="20"/>
                <w:color w:val="0000FF"/>
              </w:rPr>
              <w:t>2、《中国文物古迹保护准则》；</w:t>
            </w:r>
          </w:p>
          <w:p>
            <w:pPr>
              <w:pStyle w:val="null3"/>
              <w:ind w:firstLine="400"/>
            </w:pPr>
            <w:r>
              <w:rPr>
                <w:rFonts w:ascii="仿宋_GB2312" w:hAnsi="仿宋_GB2312" w:cs="仿宋_GB2312" w:eastAsia="仿宋_GB2312"/>
                <w:sz w:val="20"/>
                <w:color w:val="0000FF"/>
              </w:rPr>
              <w:t>3、《陕西省文物保护管理条例》；</w:t>
            </w:r>
          </w:p>
          <w:p>
            <w:pPr>
              <w:pStyle w:val="null3"/>
              <w:ind w:firstLine="400"/>
            </w:pPr>
            <w:r>
              <w:rPr>
                <w:rFonts w:ascii="仿宋_GB2312" w:hAnsi="仿宋_GB2312" w:cs="仿宋_GB2312" w:eastAsia="仿宋_GB2312"/>
                <w:sz w:val="20"/>
                <w:color w:val="0000FF"/>
              </w:rPr>
              <w:t>4、《西安市不可移动文物保护条例》；</w:t>
            </w:r>
          </w:p>
          <w:p>
            <w:pPr>
              <w:pStyle w:val="null3"/>
              <w:ind w:firstLine="400"/>
            </w:pPr>
            <w:r>
              <w:rPr>
                <w:rFonts w:ascii="仿宋_GB2312" w:hAnsi="仿宋_GB2312" w:cs="仿宋_GB2312" w:eastAsia="仿宋_GB2312"/>
                <w:sz w:val="20"/>
                <w:color w:val="0000FF"/>
              </w:rPr>
              <w:t>5、《工程测量标准》（GB50026-2020）；</w:t>
            </w:r>
          </w:p>
          <w:p>
            <w:pPr>
              <w:pStyle w:val="null3"/>
              <w:ind w:firstLine="400"/>
            </w:pPr>
            <w:r>
              <w:rPr>
                <w:rFonts w:ascii="仿宋_GB2312" w:hAnsi="仿宋_GB2312" w:cs="仿宋_GB2312" w:eastAsia="仿宋_GB2312"/>
                <w:sz w:val="20"/>
                <w:color w:val="0000FF"/>
              </w:rPr>
              <w:t>6、《建筑变形测量规范》（JGJ8-2016）；</w:t>
            </w:r>
          </w:p>
          <w:p>
            <w:pPr>
              <w:pStyle w:val="null3"/>
              <w:ind w:firstLine="400"/>
            </w:pPr>
            <w:r>
              <w:rPr>
                <w:rFonts w:ascii="仿宋_GB2312" w:hAnsi="仿宋_GB2312" w:cs="仿宋_GB2312" w:eastAsia="仿宋_GB2312"/>
                <w:sz w:val="20"/>
                <w:color w:val="0000FF"/>
              </w:rPr>
              <w:t>7、《全球导航卫星系统（GNSS）测量规范》（GB/T 18314-2024）；</w:t>
            </w:r>
          </w:p>
          <w:p>
            <w:pPr>
              <w:pStyle w:val="null3"/>
              <w:ind w:firstLine="400"/>
            </w:pPr>
            <w:r>
              <w:rPr>
                <w:rFonts w:ascii="仿宋_GB2312" w:hAnsi="仿宋_GB2312" w:cs="仿宋_GB2312" w:eastAsia="仿宋_GB2312"/>
                <w:sz w:val="20"/>
                <w:color w:val="0000FF"/>
              </w:rPr>
              <w:t>8、《国家一、二等水准测量规范》（GB/T 12897-2006）；</w:t>
            </w:r>
          </w:p>
          <w:p>
            <w:pPr>
              <w:pStyle w:val="null3"/>
              <w:ind w:firstLine="400"/>
            </w:pPr>
            <w:r>
              <w:rPr>
                <w:rFonts w:ascii="仿宋_GB2312" w:hAnsi="仿宋_GB2312" w:cs="仿宋_GB2312" w:eastAsia="仿宋_GB2312"/>
                <w:sz w:val="20"/>
                <w:color w:val="0000FF"/>
              </w:rPr>
              <w:t>9、《公共安全视频监控联网系统信息传输、交换、控制技术要求》（GB/T28181-2016）；</w:t>
            </w:r>
          </w:p>
          <w:p>
            <w:pPr>
              <w:pStyle w:val="null3"/>
              <w:ind w:firstLine="400"/>
            </w:pPr>
            <w:r>
              <w:rPr>
                <w:rFonts w:ascii="仿宋_GB2312" w:hAnsi="仿宋_GB2312" w:cs="仿宋_GB2312" w:eastAsia="仿宋_GB2312"/>
                <w:sz w:val="20"/>
                <w:color w:val="0000FF"/>
              </w:rPr>
              <w:t>10、国家或行业其他相关规范、强制性标准。</w:t>
            </w:r>
          </w:p>
          <w:p>
            <w:pPr>
              <w:pStyle w:val="null3"/>
            </w:pPr>
            <w:r>
              <w:rPr>
                <w:rFonts w:ascii="仿宋_GB2312" w:hAnsi="仿宋_GB2312" w:cs="仿宋_GB2312" w:eastAsia="仿宋_GB2312"/>
                <w:sz w:val="20"/>
                <w:b/>
                <w:color w:val="0000FF"/>
              </w:rPr>
              <w:t>四、本项目所属行业：</w:t>
            </w:r>
            <w:r>
              <w:rPr>
                <w:rFonts w:ascii="仿宋_GB2312" w:hAnsi="仿宋_GB2312" w:cs="仿宋_GB2312" w:eastAsia="仿宋_GB2312"/>
                <w:sz w:val="20"/>
                <w:color w:val="0000FF"/>
              </w:rPr>
              <w:t>其他未列明行业（从业人员</w:t>
            </w:r>
            <w:r>
              <w:rPr>
                <w:rFonts w:ascii="仿宋_GB2312" w:hAnsi="仿宋_GB2312" w:cs="仿宋_GB2312" w:eastAsia="仿宋_GB2312"/>
                <w:sz w:val="20"/>
                <w:color w:val="0000FF"/>
              </w:rPr>
              <w:t>300人以下的为中小微型企业。其中，从业人员100人及以上的为中型企业；从业人员10人及以上的为小型企业；从业人员10人以下的为微型企业）。</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项目团队建立完善，岗位职责明确，人员充足，确保项目有序运行。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根据采购内容匹配相关设备（如需）。</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张学良将军公馆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提供的服务最终验收达不到磋商文件要求和响应文件承诺及国家或行业标准，或在使用中发现采购人不能容忍的缺陷等，将视为验收不合格，供应商应在采购人要求的时间内无条件完善或要求赔付采购人损失。 2、若发现供应商有弄虚作假的，及在项目实施阶段故意或随意夸大服务，本项目合同解除，供应商赔偿采购人相应的损失。 3、验收标准：按竞争性磋商文件、响应文件及合同约定的各项技术、服务、安全标准的履约情况逐项进行验收确认。 4、验收合格后，填写验收单，双方盖章、签字生效。</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本合同签订且市级文保资金下达后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本项目前三个季度监测工作完成后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第四个季度末，甲方向乙方支付剩余尾款，但乙方需承诺其按本合同约定完成剩余全部工作且达到验收合格标准</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成交供应商在领取成交通知书时提供纸质版响应文件2套，应通过专用制作软件直接打印，确保与电子投标文件保持一致，不允许修改和补充。提交地点：陕西省西安市莲湖区丰登南路3号1幢306室（丰庆公园北门往西200米PM中心三楼）。三、供应商的磋商报价是供应商响应磋商项目要求的全部工作内容的价格体现，包括供应商完成本项目所需的直接费、间接费、利润、税金及其他相关的一切费用。包括但不限于：人工费、管理费、材料与设备费、保险费、采购代理费、税金、利润、风险、责任等与本项目有关的一切费用。在提供服务的过程中的任何遗漏，均由成交供应商免费提供，采购人将不再支付任何费用。三、磋商有效期1.出现特殊情况需要延长磋商有效期的，采购代理机构或采购人可于磋商有效期满之前，以书面形式通知所有供应商延长磋商有效期。供应商应予书面答复，同意延长的，应相应延长其磋商保证金（若有）有效期，但不得要求或被允许修改其响应文件；供应商拒绝延长的，其响应文件失效，递交磋商保证金的，供应商有权收回其磋商保证金（若有）。2.在磋商有效期内，供应商撤销响应文件的，应承担磋商文件和法律规定的责任。3.成交供应商的磋商有效期自动延长至合同终止为止。四、合格供应商少于3家的处理1.评审过程中，若出现合格供应商只有2家时，符合《政府采购竞争性磋商采购方式管理暂行办法》第3条第4项情形的，或者本项目为政府购买服务指导性目录中的，可以继续进行；只有1家时，采购人应依法重新组织采购活动。2.评审过程中，除符合第1条规定情形外，若出现合格供应商少于3家时，采购人应依法重新组织采购活动。五、分公司独立参与磋商时，不能使用总公司的资质或业绩；总公司授权分公司或分支机构参与磋商，可以使用总公司的资质或业绩。总公司单独参与磋商时，可以使用分公司的业绩，在相关资质证书的管理要求和适用范围内可以使用分公司资质。六、恶意质疑、投诉的法律后果1.对捏造事实、提供虚假材料进行质疑、投诉的行为将予以严肃处理：《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2.对捏造事实诬告陷害他人、诽谤他人的法律适用：（1）《中华人民共和国刑法》第243条【诬告陷害罪】捏造事实诬告陷害他人，意图使他人受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七、签名是指手写签名或者加盖名章（含电子签名或电子印章），盖章是指加盖单位印章。八、关于采购文件一次报价出现下列情况的，不需要供应商澄清，按以下原则处理：1.报价中的大写金额和小写金额不一致的，以大写金额为准，但大写金额出现文字错误，导致金额无法判断的除外；2.单价金额小数点或者百分比有明显错位的，应以总价为准，并修改单价；3.总价金额与按单价汇总金额不一致的，以单价汇总金额计算结果为准。同时出现两种以上不一致的，按照前款规定的顺序修正。修正后的报价经加盖供应商（法定名称）电子印章后产生约束力，供应商不确认的，其报价无效。九、采购人应按照磋商文件和成交供应商响应文件，在成交通知书发出之日起25日内与成交供应商签订采购合同，并进行备案和公示。十、最终报价如出现异常低价，执行财库〔2026〕2号《关于推动解决政府采购异常低价问题的通知》，磋商小组可在最后报价审查表中审核是否通过审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供应商应具备《中华人民共和国政府采购法》第二十二条规定的条件： （1）供应商的营业执照等证明文件，自然人的身份证明；（2）法定代表人（单位负责人）参加磋商的，提供本人身份证复印件；法定代表人（单位负责人）授权他人参加磋商的，提供法定代表人（单位负责人）委托授权书及被授权代表的身份证复印件；按照电子化全流程要求，投标（响应）文件递交时，签到的人员信息应为法定代表人或授权委托人。（3）供应商提供的投标（响应）函；（4）供应商不得被列入“信用中国”网站（https://www.creditchina.gov.cn/ ）“失信被执行人”（页面跳转至“中国执行信息公开网”http://zxgk.court.gov.cn/shixin/）、“重大税收违法失信主体”；不得处于中国政府采购网（http://www.ccgp.gov.cn/)“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资格证明部分.docx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提供2023年度或2024年度经审计的财务会计报告或其提交响应文件截止时间前3个月内银行出具的资信证明。（以上形式的资料提供任何一种即可） 要求：（1）供应商是企业法人的，应提供2023或2024全年度经审计的财务报告，包括 “四表一注”即《资产负债表》《利润表》《现金流量表》《所有者权益变动表》及其附注，或者提交响应文件截止时间前3个月内其基本账户开户银行出具的资信证明（附基本存款账户信息）；供应商是执行《小企业会计准则》的小微企业的，应提供2023或2024全年度经审计的财务报告，至少包括 《资产负债表》《利润表》《现金流量表》及其附注，或者提交响应文件截止时间前3个月内其基本账户开户银行出具的资信证明（附基本存款账户信息）；（2）供应商是事业单位法人的，应提供2023或2024全年度经审计的财务报告，至少包括《资产负债表》《收入支出表或者收入费用表》《财政补助收入支出表》及其附注，或者提交响应文件截止时间前3个月内其基本账户开户银行出具的资信证明（附基本存款账户信息）； （3）其他组织和自然人，提供提交响应文件截止时间前3个月内银行出具的资信证明（附账户信息）； （4）供应商成立不到1年（至提交响应文件截止时间）的，提供成立后任意时段的资产负债表，或提交响应文件截止时间前3个月内其基本账户开户银行出具的资信证明（附基本存款账户信息）。</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特定资格要求如下</w:t>
            </w:r>
          </w:p>
        </w:tc>
        <w:tc>
          <w:tcPr>
            <w:tcW w:type="dxa" w:w="3322"/>
          </w:tcPr>
          <w:p>
            <w:pPr>
              <w:pStyle w:val="null3"/>
            </w:pPr>
            <w:r>
              <w:rPr>
                <w:rFonts w:ascii="仿宋_GB2312" w:hAnsi="仿宋_GB2312" w:cs="仿宋_GB2312" w:eastAsia="仿宋_GB2312"/>
              </w:rPr>
              <w:t>（1）供应商的营业执照等证明文件，自然人的身份证明；（2）法定代表人参加磋商的，提供本人身份证复印件；法定代表人授权他人参加磋商的，提供法定代表人委托授权书并出示被授权代表的身份证复印件；（3）提供2023年度或2024年度经审计的财务会计报告或其提交响应文件截止时间前3个月内银行出具的资信证明。（4）税收缴纳证明：提供磋商截止时间前半年内任意一个月的纳税证明或完税证明，依法免税的单位应提供相关证明材料；（5）社会保障资金缴纳证明：提供磋商截止时间前半年内任意一个月的社会保障资金缴存单据或社保机构开具的社会保险参保缴费情况证明，依法不需要缴纳社会保障资金的单位应提供相关证明材料；（6）具备履行合同所必需的设备和专业技术能力的证明；（7）参加本次招标前3年内，在经营活动中没有重大违法记录的书面声明；（8）供应商未被“信用中国”网站列入失信被执行人、重大税收违法失信主体名单，未被“中国政府采购网”网站列入政府采购严重违法失信行为记录名单；（9）单位负责人为同一人或者存在直接控股、管理关系的不同供应商，不得参加同一合同项下的采购活动；（10）供应商需具备行政主管部门核发的甲级测绘资质（专业需包含工程测量）或工程勘察综合甲级资质或工程勘察专业（工程测量）甲级资质；（11）本项目不接受联合体磋商。</w:t>
            </w:r>
          </w:p>
        </w:tc>
        <w:tc>
          <w:tcPr>
            <w:tcW w:type="dxa" w:w="1661"/>
          </w:tcPr>
          <w:p>
            <w:pPr>
              <w:pStyle w:val="null3"/>
            </w:pPr>
            <w:r>
              <w:rPr>
                <w:rFonts w:ascii="仿宋_GB2312" w:hAnsi="仿宋_GB2312" w:cs="仿宋_GB2312" w:eastAsia="仿宋_GB2312"/>
              </w:rPr>
              <w:t>资格证明部分.docx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响应文件上法定代表人（单位负责人）或其委托代理人的签名齐全并加盖单位章。</w:t>
            </w:r>
          </w:p>
        </w:tc>
        <w:tc>
          <w:tcPr>
            <w:tcW w:type="dxa" w:w="1661"/>
          </w:tcPr>
          <w:p>
            <w:pPr>
              <w:pStyle w:val="null3"/>
            </w:pPr>
            <w:r>
              <w:rPr>
                <w:rFonts w:ascii="仿宋_GB2312" w:hAnsi="仿宋_GB2312" w:cs="仿宋_GB2312" w:eastAsia="仿宋_GB2312"/>
              </w:rPr>
              <w:t>响应文件封面 资格证明部分.docx 中小企业声明函 残疾人福利性单位声明函 标的清单 响应函 商务技术部分.docx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资格证明部分.docx 商务技术部分.docx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只能有一个有效报价，不得提交选择性报价，且报价不超过第二章“供应商须知”前附表规定的采购预算金额或最高限价。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 （5）不同供应商的响应文件相互混装。</w:t>
            </w:r>
          </w:p>
        </w:tc>
        <w:tc>
          <w:tcPr>
            <w:tcW w:type="dxa" w:w="1661"/>
          </w:tcPr>
          <w:p>
            <w:pPr>
              <w:pStyle w:val="null3"/>
            </w:pPr>
            <w:r>
              <w:rPr>
                <w:rFonts w:ascii="仿宋_GB2312" w:hAnsi="仿宋_GB2312" w:cs="仿宋_GB2312" w:eastAsia="仿宋_GB2312"/>
              </w:rPr>
              <w:t>资格证明部分.docx 商务技术部分.docx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标的清单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针对本项目服务内容及要求提供整体服务方案，包括但不限于：1.对本项目的理解；2.自动化监测设备安装实施方案；3.数据处理与分析平台；4.预警与应急响应机制；5.系统维护与持续优化。要求方案完善，具有很强的合理性和可操作性。 二、评分标准 每提供一项计3分，最高计15分。各项每有一处内容存在缺陷扣1分，扣完为止，未提供或提供的内容与本项目不符计0分。 备注：缺陷是指内容不合理、虽有内容但不完善、内容表述前后不一致、与项目需求不匹配及其他不利于项目实施的任意一种情形。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进度控制及应急处理方案</w:t>
            </w:r>
          </w:p>
        </w:tc>
        <w:tc>
          <w:tcPr>
            <w:tcW w:type="dxa" w:w="2492"/>
          </w:tcPr>
          <w:p>
            <w:pPr>
              <w:pStyle w:val="null3"/>
            </w:pPr>
            <w:r>
              <w:rPr>
                <w:rFonts w:ascii="仿宋_GB2312" w:hAnsi="仿宋_GB2312" w:cs="仿宋_GB2312" w:eastAsia="仿宋_GB2312"/>
              </w:rPr>
              <w:t>一、评审内容 供应商针对本项目服务内容及要求提供进度控制及应急处理方案，包括但不限于：1.进度跟踪方案；2.节点管控方案；3.针对突发情况在补救措施及响应时间；4.异常数据监控制度和处理处置方法。要求方案完善，具有很强的合理性和可操作性。 二、评分标准 每提供一项计3分，最高计12分。各项每有一处内容存在缺陷扣1分，扣完为止，未提供或提供的内容与本项目不符计0分。 备注：缺陷是指内容不合理、虽有内容但不完善、内容表述前后不一致、与项目需求不匹配及其他不利于项目实施的任意一种情形。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供应商针对本项目提供质量保证措施，包括但不限于：1.监测质量保证措施；2.监测设备安装调试质量保证措施；3.运维方案。要求方案完善，具有很强的合理性和可操作性。 二、评分标准 每提供一项计3分，最高计9分。各项每有一处内容存在缺陷扣1分，扣完为止，未提供或提供的内容与本项目不符计0分。 备注：缺陷是指内容不合理、虽有内容但不完善、内容表述前后不一致、与项目需求不匹配及其他不利于项目实施的任意一种情形。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项目团队1</w:t>
            </w:r>
          </w:p>
        </w:tc>
        <w:tc>
          <w:tcPr>
            <w:tcW w:type="dxa" w:w="2492"/>
          </w:tcPr>
          <w:p>
            <w:pPr>
              <w:pStyle w:val="null3"/>
            </w:pPr>
            <w:r>
              <w:rPr>
                <w:rFonts w:ascii="仿宋_GB2312" w:hAnsi="仿宋_GB2312" w:cs="仿宋_GB2312" w:eastAsia="仿宋_GB2312"/>
              </w:rPr>
              <w:t>项目负责人：同时具备注册土木工程师（岩土）或注册测绘工程师及高级工程师以上职称的得4分；项目负责人具有同类型文物监测类业绩，每提供一份计2分，满分6分。（评审依据：以注册证书及合同复印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项目团队2</w:t>
            </w:r>
          </w:p>
        </w:tc>
        <w:tc>
          <w:tcPr>
            <w:tcW w:type="dxa" w:w="2492"/>
          </w:tcPr>
          <w:p>
            <w:pPr>
              <w:pStyle w:val="null3"/>
            </w:pPr>
            <w:r>
              <w:rPr>
                <w:rFonts w:ascii="仿宋_GB2312" w:hAnsi="仿宋_GB2312" w:cs="仿宋_GB2312" w:eastAsia="仿宋_GB2312"/>
              </w:rPr>
              <w:t>一、评审内容：针对本项目提供详细的人员配备，包括但不限于： ①有针对本项目的专业服务团队，人员配备数量充足，各专业配置齐全，完全满足项目实施需求； ②人员组织结构合理，有明确的岗位职责。 二、评分标准：上述2项评审内容每提供一项计5分，最高计10分。各项每有一处内容存在缺陷扣1分，扣完为止，未提供或提供的内容与本项目不符计0分。 备注：缺陷是指内容不合理、虽有内容但不完善、内容表述前后不一致、与项目需求不匹配及其他不利于项目实施的任意一种情形。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仪器设备配置方案</w:t>
            </w:r>
          </w:p>
        </w:tc>
        <w:tc>
          <w:tcPr>
            <w:tcW w:type="dxa" w:w="2492"/>
          </w:tcPr>
          <w:p>
            <w:pPr>
              <w:pStyle w:val="null3"/>
            </w:pPr>
            <w:r>
              <w:rPr>
                <w:rFonts w:ascii="仿宋_GB2312" w:hAnsi="仿宋_GB2312" w:cs="仿宋_GB2312" w:eastAsia="仿宋_GB2312"/>
              </w:rPr>
              <w:t>拟投入本项目的设备配置方案，方案科学合理、完全满足项目实施需要计10分；方案基本合理可行计7分，方案欠缺、不利于实施计3分，未提供不计分。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 供应商针对本项目提供保密措施，包括但不限于：1.保密承诺和相关措施；2.档案管理制度；3.数据安全保密措施。要求方案完善，具有很强的合理性和可操作性。 二、评分标准 每提供一项计2分，最高计6分。各项每有一处内容存在缺陷扣1分，扣完为止，未提供或提供的内容与本项目不符计0分。 备注：缺陷是指内容不合理、虽有内容但不完善、内容表述前后不一致、与项目需求不匹配及其他不利于项目实施的任意一种情形。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一、评审内容 供应商针对本项目提供服务承诺及合理化建议，包括但不限于：1.数据真实准确的承诺；2.设备稳定响应快速高效的承诺；3.服务规范高效的承诺；4.优化监测频次及设备维护的合理化建议。要求承诺及建议完善，具有很强的合理性和可操作性。 二、评分标准 每提供一项计2分，最高计8分。各项每有一处内容存在缺陷扣1分，扣完为止，未提供或提供的内容与本项目不符计0分。 备注：缺陷是指内容不合理、虽有内容但不完善、内容表述前后不一致、与项目需求不匹配及其他不利于项目实施的任意一种情形。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具有同类型文物监测类业绩（2021年1月至今），每提供一份计2分，满分10分。业绩以合同复印件为依据。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 财库〔2020〕46号文件的规定，采用低价优先法计算，以本次满足磋商文件要求的最低最后磋商报价为磋商基准价，其磋商报价为满分。供应商的磋商报价得分，统一按照下列公式计算：磋商报价得分=(磋商基准价／最后磋商报价)×10 注：若供应商享受价格扣除政策，则其参与评审的最后磋商报价为价格扣除后的报价。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详见附件：资格证明部分.docx</w:t>
      </w:r>
    </w:p>
    <w:p>
      <w:pPr>
        <w:pStyle w:val="null3"/>
        <w:ind w:firstLine="960"/>
      </w:pPr>
      <w:r>
        <w:rPr>
          <w:rFonts w:ascii="仿宋_GB2312" w:hAnsi="仿宋_GB2312" w:cs="仿宋_GB2312" w:eastAsia="仿宋_GB2312"/>
        </w:rPr>
        <w:t>详见附件：商务技术部分.docx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