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BE7E5">
      <w:pPr>
        <w:pStyle w:val="18"/>
        <w:jc w:val="center"/>
        <w:outlineLvl w:val="1"/>
      </w:pPr>
      <w:r>
        <w:rPr>
          <w:rFonts w:ascii="仿宋_GB2312" w:hAnsi="仿宋_GB2312" w:eastAsia="仿宋_GB2312" w:cs="仿宋_GB2312"/>
          <w:b/>
          <w:sz w:val="36"/>
        </w:rPr>
        <w:t xml:space="preserve"> 拟签订采购合同文本</w:t>
      </w:r>
    </w:p>
    <w:p w14:paraId="7F8CB348">
      <w:pPr>
        <w:jc w:val="center"/>
        <w:rPr>
          <w:rFonts w:hint="eastAsia"/>
          <w:b/>
          <w:bCs/>
          <w:sz w:val="52"/>
          <w:szCs w:val="52"/>
          <w:lang w:eastAsia="zh-CN"/>
        </w:rPr>
      </w:pPr>
    </w:p>
    <w:p w14:paraId="040AF41A">
      <w:pPr>
        <w:pStyle w:val="13"/>
        <w:rPr>
          <w:rFonts w:hint="eastAsia"/>
          <w:lang w:eastAsia="zh-CN"/>
        </w:rPr>
      </w:pPr>
    </w:p>
    <w:p w14:paraId="6ECE215A">
      <w:pPr>
        <w:spacing w:before="120" w:line="360" w:lineRule="auto"/>
        <w:jc w:val="center"/>
        <w:rPr>
          <w:rFonts w:hint="eastAsia" w:ascii="宋体" w:hAnsi="宋体" w:eastAsia="宋体" w:cs="宋体"/>
          <w:b/>
          <w:bCs/>
          <w:color w:val="auto"/>
          <w:sz w:val="44"/>
          <w:szCs w:val="44"/>
          <w:highlight w:val="red"/>
        </w:rPr>
      </w:pPr>
      <w:r>
        <w:rPr>
          <w:rFonts w:hint="eastAsia" w:ascii="仿宋_GB2312" w:hAnsi="仿宋_GB2312" w:eastAsia="仿宋_GB2312" w:cs="仿宋_GB2312"/>
          <w:b/>
          <w:sz w:val="36"/>
          <w:szCs w:val="32"/>
          <w:lang w:eastAsia="zh-CN"/>
        </w:rPr>
        <w:t>西安事变旧址-张学良公馆旧址抢险工程（变形监测）</w:t>
      </w:r>
    </w:p>
    <w:p w14:paraId="0546C8A4">
      <w:pPr>
        <w:spacing w:before="120" w:line="360" w:lineRule="auto"/>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采 购 合 同</w:t>
      </w:r>
    </w:p>
    <w:p w14:paraId="65CC42DD">
      <w:pPr>
        <w:jc w:val="center"/>
        <w:rPr>
          <w:rFonts w:hint="eastAsia" w:ascii="宋体" w:hAnsi="宋体" w:eastAsia="宋体" w:cs="宋体"/>
          <w:b/>
          <w:bCs/>
          <w:color w:val="auto"/>
          <w:sz w:val="28"/>
          <w:szCs w:val="28"/>
          <w:lang w:val="en-US" w:eastAsia="zh-CN"/>
        </w:rPr>
      </w:pPr>
    </w:p>
    <w:p w14:paraId="3169570D">
      <w:pPr>
        <w:jc w:val="center"/>
        <w:rPr>
          <w:rFonts w:hint="eastAsia" w:ascii="宋体" w:hAnsi="宋体" w:eastAsia="宋体" w:cs="宋体"/>
          <w:b/>
          <w:bCs/>
          <w:color w:val="auto"/>
          <w:sz w:val="28"/>
          <w:szCs w:val="28"/>
          <w:lang w:val="en-US" w:eastAsia="zh-CN"/>
        </w:rPr>
      </w:pPr>
    </w:p>
    <w:p w14:paraId="63E817D1">
      <w:pPr>
        <w:jc w:val="center"/>
        <w:rPr>
          <w:rFonts w:hint="eastAsia" w:ascii="宋体" w:hAnsi="宋体" w:eastAsia="宋体" w:cs="宋体"/>
          <w:b/>
          <w:bCs/>
          <w:color w:val="auto"/>
          <w:sz w:val="28"/>
          <w:szCs w:val="28"/>
          <w:lang w:val="en-US" w:eastAsia="zh-CN"/>
        </w:rPr>
      </w:pPr>
    </w:p>
    <w:p w14:paraId="7839828F">
      <w:pPr>
        <w:jc w:val="center"/>
        <w:rPr>
          <w:rFonts w:hint="eastAsia" w:ascii="宋体" w:hAnsi="宋体" w:eastAsia="宋体" w:cs="宋体"/>
          <w:b/>
          <w:bCs/>
          <w:color w:val="auto"/>
          <w:sz w:val="28"/>
          <w:szCs w:val="28"/>
          <w:lang w:val="en-US" w:eastAsia="zh-CN"/>
        </w:rPr>
      </w:pPr>
    </w:p>
    <w:p w14:paraId="30D2A2D9">
      <w:pPr>
        <w:ind w:firstLine="2711" w:firstLineChars="900"/>
        <w:jc w:val="both"/>
        <w:rPr>
          <w:rFonts w:hint="eastAsia" w:ascii="宋体" w:hAnsi="宋体" w:eastAsia="宋体" w:cs="宋体"/>
          <w:b/>
          <w:bCs/>
          <w:color w:val="auto"/>
          <w:sz w:val="30"/>
          <w:szCs w:val="30"/>
          <w:lang w:val="en-US" w:eastAsia="zh-CN"/>
        </w:rPr>
      </w:pPr>
    </w:p>
    <w:p w14:paraId="1D72424E">
      <w:pPr>
        <w:ind w:firstLine="2711" w:firstLineChars="900"/>
        <w:jc w:val="both"/>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en-US" w:eastAsia="zh-CN"/>
        </w:rPr>
        <w:t>合同编号：</w:t>
      </w:r>
      <w:r>
        <w:rPr>
          <w:rFonts w:hint="eastAsia" w:ascii="宋体" w:hAnsi="宋体" w:cs="宋体"/>
          <w:b/>
          <w:bCs/>
          <w:color w:val="auto"/>
          <w:sz w:val="30"/>
          <w:szCs w:val="30"/>
          <w:u w:val="single"/>
          <w:lang w:val="en-US" w:eastAsia="zh-CN"/>
        </w:rPr>
        <w:t xml:space="preserve">            </w:t>
      </w:r>
    </w:p>
    <w:p w14:paraId="4E710C3D">
      <w:pPr>
        <w:bidi w:val="0"/>
        <w:rPr>
          <w:rFonts w:hint="eastAsia"/>
        </w:rPr>
      </w:pPr>
    </w:p>
    <w:p w14:paraId="66F05AE2">
      <w:pPr>
        <w:widowControl w:val="0"/>
        <w:spacing w:before="120" w:line="360" w:lineRule="auto"/>
        <w:jc w:val="both"/>
        <w:rPr>
          <w:rFonts w:hint="eastAsia" w:ascii="宋体" w:hAnsi="宋体" w:eastAsia="宋体" w:cs="宋体"/>
          <w:color w:val="auto"/>
          <w:kern w:val="2"/>
          <w:sz w:val="28"/>
          <w:szCs w:val="28"/>
          <w:lang w:val="en-US" w:eastAsia="zh-CN" w:bidi="ar-SA"/>
        </w:rPr>
      </w:pPr>
    </w:p>
    <w:p w14:paraId="00476DB4">
      <w:pPr>
        <w:widowControl w:val="0"/>
        <w:spacing w:before="120" w:line="360" w:lineRule="auto"/>
        <w:jc w:val="both"/>
        <w:rPr>
          <w:rFonts w:hint="eastAsia" w:ascii="宋体" w:hAnsi="宋体" w:eastAsia="宋体" w:cs="宋体"/>
          <w:color w:val="auto"/>
          <w:kern w:val="2"/>
          <w:sz w:val="28"/>
          <w:szCs w:val="28"/>
          <w:lang w:val="en-US" w:eastAsia="zh-CN" w:bidi="ar-SA"/>
        </w:rPr>
      </w:pPr>
    </w:p>
    <w:p w14:paraId="1B5634A1">
      <w:pPr>
        <w:widowControl w:val="0"/>
        <w:spacing w:before="120" w:line="360" w:lineRule="auto"/>
        <w:jc w:val="both"/>
        <w:rPr>
          <w:rFonts w:hint="eastAsia" w:ascii="宋体" w:hAnsi="宋体" w:eastAsia="宋体" w:cs="宋体"/>
          <w:color w:val="auto"/>
          <w:kern w:val="2"/>
          <w:sz w:val="28"/>
          <w:szCs w:val="28"/>
          <w:lang w:val="en-US" w:eastAsia="zh-CN" w:bidi="ar-SA"/>
        </w:rPr>
      </w:pPr>
    </w:p>
    <w:p w14:paraId="70724039">
      <w:pPr>
        <w:widowControl w:val="0"/>
        <w:spacing w:before="120" w:line="360" w:lineRule="auto"/>
        <w:jc w:val="both"/>
        <w:rPr>
          <w:rFonts w:hint="eastAsia" w:ascii="宋体" w:hAnsi="宋体" w:eastAsia="宋体" w:cs="宋体"/>
          <w:color w:val="auto"/>
          <w:kern w:val="2"/>
          <w:sz w:val="28"/>
          <w:szCs w:val="28"/>
          <w:lang w:val="en-US" w:eastAsia="zh-CN" w:bidi="ar-SA"/>
        </w:rPr>
      </w:pPr>
    </w:p>
    <w:p w14:paraId="6686AD9F">
      <w:pPr>
        <w:pStyle w:val="7"/>
        <w:rPr>
          <w:rFonts w:hint="eastAsia" w:ascii="宋体" w:hAnsi="宋体" w:eastAsia="宋体" w:cs="宋体"/>
          <w:color w:val="auto"/>
          <w:kern w:val="2"/>
          <w:sz w:val="28"/>
          <w:szCs w:val="28"/>
          <w:lang w:val="en-US" w:eastAsia="zh-CN" w:bidi="ar-SA"/>
        </w:rPr>
      </w:pPr>
    </w:p>
    <w:p w14:paraId="50EBC278">
      <w:pPr>
        <w:pStyle w:val="7"/>
        <w:rPr>
          <w:rFonts w:hint="eastAsia" w:ascii="宋体" w:hAnsi="宋体" w:eastAsia="宋体" w:cs="宋体"/>
          <w:color w:val="auto"/>
          <w:kern w:val="2"/>
          <w:sz w:val="28"/>
          <w:szCs w:val="28"/>
          <w:lang w:val="en-US" w:eastAsia="zh-CN" w:bidi="ar-SA"/>
        </w:rPr>
      </w:pPr>
    </w:p>
    <w:p w14:paraId="332B3749">
      <w:pPr>
        <w:spacing w:before="120" w:line="360" w:lineRule="auto"/>
        <w:rPr>
          <w:rFonts w:hint="eastAsia" w:ascii="宋体" w:hAnsi="宋体" w:eastAsia="宋体" w:cs="宋体"/>
          <w:b/>
          <w:bCs/>
          <w:color w:val="auto"/>
          <w:sz w:val="28"/>
          <w:szCs w:val="28"/>
          <w:u w:val="single"/>
        </w:rPr>
      </w:pPr>
      <w:r>
        <w:rPr>
          <w:rFonts w:hint="eastAsia" w:ascii="宋体" w:hAnsi="宋体" w:eastAsia="宋体" w:cs="宋体"/>
          <w:b/>
          <w:bCs/>
          <w:color w:val="auto"/>
          <w:sz w:val="28"/>
          <w:szCs w:val="28"/>
          <w:lang w:val="en-US" w:eastAsia="zh-CN"/>
        </w:rPr>
        <w:t>委托方（甲方）</w:t>
      </w:r>
      <w:r>
        <w:rPr>
          <w:rFonts w:hint="eastAsia" w:ascii="宋体" w:hAnsi="宋体" w:eastAsia="宋体" w:cs="宋体"/>
          <w:b/>
          <w:bCs/>
          <w:color w:val="auto"/>
          <w:sz w:val="28"/>
          <w:szCs w:val="28"/>
        </w:rPr>
        <w:t>：</w:t>
      </w:r>
      <w:r>
        <w:rPr>
          <w:rFonts w:hint="eastAsia" w:ascii="宋体" w:hAnsi="宋体" w:eastAsia="宋体" w:cs="宋体"/>
          <w:b/>
          <w:bCs/>
          <w:color w:val="auto"/>
          <w:sz w:val="28"/>
          <w:szCs w:val="28"/>
          <w:u w:val="single"/>
        </w:rPr>
        <w:t xml:space="preserve"> </w:t>
      </w:r>
      <w:r>
        <w:rPr>
          <w:rFonts w:hint="eastAsia" w:ascii="宋体" w:hAnsi="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p>
    <w:p w14:paraId="6EBF16D7">
      <w:pPr>
        <w:spacing w:before="120" w:line="360" w:lineRule="auto"/>
        <w:rPr>
          <w:rFonts w:hint="default" w:ascii="宋体" w:hAnsi="宋体" w:eastAsia="宋体" w:cs="宋体"/>
          <w:b/>
          <w:bCs/>
          <w:color w:val="auto"/>
          <w:sz w:val="28"/>
          <w:szCs w:val="28"/>
          <w:u w:val="single"/>
          <w:lang w:val="en-US"/>
        </w:rPr>
      </w:pPr>
      <w:r>
        <w:rPr>
          <w:rFonts w:hint="eastAsia" w:ascii="宋体" w:hAnsi="宋体" w:eastAsia="宋体" w:cs="宋体"/>
          <w:b/>
          <w:bCs/>
          <w:color w:val="auto"/>
          <w:sz w:val="28"/>
          <w:szCs w:val="28"/>
          <w:lang w:val="en-US" w:eastAsia="zh-CN"/>
        </w:rPr>
        <w:t>承接方（乙方）</w:t>
      </w:r>
      <w:r>
        <w:rPr>
          <w:rFonts w:hint="eastAsia" w:ascii="宋体" w:hAnsi="宋体" w:eastAsia="宋体" w:cs="宋体"/>
          <w:b/>
          <w:bCs/>
          <w:color w:val="auto"/>
          <w:sz w:val="28"/>
          <w:szCs w:val="28"/>
        </w:rPr>
        <w:t>：</w:t>
      </w:r>
      <w:r>
        <w:rPr>
          <w:rFonts w:hint="eastAsia" w:ascii="宋体" w:hAnsi="宋体" w:eastAsia="宋体" w:cs="宋体"/>
          <w:b/>
          <w:bCs/>
          <w:color w:val="auto"/>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                              </w:t>
      </w:r>
    </w:p>
    <w:p w14:paraId="394E8DB8">
      <w:pPr>
        <w:widowControl w:val="0"/>
        <w:spacing w:line="360" w:lineRule="auto"/>
        <w:ind w:left="0" w:leftChars="0" w:firstLine="957" w:firstLineChars="342"/>
        <w:jc w:val="both"/>
        <w:rPr>
          <w:rFonts w:hint="eastAsia" w:ascii="Times New Roman" w:hAnsi="Times New Roman" w:eastAsia="宋体" w:cs="Times New Roman"/>
          <w:kern w:val="0"/>
          <w:sz w:val="28"/>
          <w:szCs w:val="28"/>
          <w:lang w:val="en-US" w:eastAsia="zh-CN" w:bidi="ar-SA"/>
        </w:rPr>
      </w:pPr>
    </w:p>
    <w:p w14:paraId="277BF2C6">
      <w:pPr>
        <w:spacing w:line="480" w:lineRule="auto"/>
        <w:rPr>
          <w:rFonts w:hint="eastAsia" w:ascii="宋体" w:hAnsi="宋体" w:eastAsia="宋体" w:cs="宋体"/>
          <w:b/>
          <w:color w:val="000000"/>
          <w:sz w:val="32"/>
          <w:szCs w:val="32"/>
          <w:lang w:val="en-US" w:eastAsia="zh-CN"/>
        </w:rPr>
      </w:pPr>
      <w:r>
        <w:rPr>
          <w:rFonts w:hint="eastAsia" w:ascii="宋体" w:hAnsi="宋体" w:eastAsia="宋体" w:cs="宋体"/>
          <w:b/>
          <w:bCs/>
          <w:color w:val="auto"/>
          <w:sz w:val="28"/>
          <w:szCs w:val="28"/>
        </w:rPr>
        <w:t>签署日期：</w:t>
      </w:r>
      <w:r>
        <w:rPr>
          <w:rFonts w:hint="eastAsia" w:ascii="宋体" w:hAnsi="宋体" w:eastAsia="宋体" w:cs="宋体"/>
          <w:b/>
          <w:bCs/>
          <w:color w:val="auto"/>
          <w:sz w:val="28"/>
          <w:szCs w:val="28"/>
          <w:u w:val="single"/>
        </w:rPr>
        <w:t>　　</w:t>
      </w:r>
      <w:r>
        <w:rPr>
          <w:rFonts w:hint="eastAsia" w:ascii="宋体" w:hAnsi="宋体" w:eastAsia="宋体" w:cs="宋体"/>
          <w:b/>
          <w:bCs/>
          <w:color w:val="auto"/>
          <w:sz w:val="28"/>
          <w:szCs w:val="28"/>
          <w:u w:val="single"/>
          <w:lang w:val="en-US" w:eastAsia="zh-CN"/>
        </w:rPr>
        <w:t xml:space="preserve">    </w:t>
      </w:r>
      <w:r>
        <w:rPr>
          <w:rFonts w:hint="eastAsia" w:ascii="宋体" w:hAnsi="宋体" w:eastAsia="宋体" w:cs="宋体"/>
          <w:b/>
          <w:bCs/>
          <w:color w:val="auto"/>
          <w:sz w:val="28"/>
          <w:szCs w:val="28"/>
          <w:u w:val="none"/>
          <w:lang w:val="en-US" w:eastAsia="zh-CN"/>
        </w:rPr>
        <w:t>年</w:t>
      </w:r>
      <w:r>
        <w:rPr>
          <w:rFonts w:hint="eastAsia" w:ascii="宋体" w:hAnsi="宋体" w:eastAsia="宋体" w:cs="宋体"/>
          <w:b/>
          <w:bCs/>
          <w:color w:val="auto"/>
          <w:sz w:val="28"/>
          <w:szCs w:val="28"/>
          <w:u w:val="single"/>
          <w:lang w:val="en-US" w:eastAsia="zh-CN"/>
        </w:rPr>
        <w:t xml:space="preserve">       </w:t>
      </w:r>
      <w:r>
        <w:rPr>
          <w:rFonts w:hint="eastAsia" w:ascii="宋体" w:hAnsi="宋体" w:eastAsia="宋体" w:cs="宋体"/>
          <w:b/>
          <w:bCs/>
          <w:color w:val="auto"/>
          <w:sz w:val="28"/>
          <w:szCs w:val="28"/>
          <w:u w:val="none"/>
          <w:lang w:val="en-US" w:eastAsia="zh-CN"/>
        </w:rPr>
        <w:t>月</w:t>
      </w:r>
      <w:r>
        <w:rPr>
          <w:rFonts w:hint="eastAsia" w:ascii="宋体" w:hAnsi="宋体" w:eastAsia="宋体" w:cs="宋体"/>
          <w:b/>
          <w:bCs/>
          <w:color w:val="auto"/>
          <w:sz w:val="28"/>
          <w:szCs w:val="28"/>
          <w:u w:val="single"/>
          <w:lang w:val="en-US" w:eastAsia="zh-CN"/>
        </w:rPr>
        <w:t xml:space="preserve">       </w:t>
      </w:r>
      <w:r>
        <w:rPr>
          <w:rFonts w:hint="eastAsia" w:ascii="宋体" w:hAnsi="宋体" w:eastAsia="宋体" w:cs="宋体"/>
          <w:b/>
          <w:bCs/>
          <w:color w:val="auto"/>
          <w:sz w:val="28"/>
          <w:szCs w:val="28"/>
          <w:u w:val="none"/>
          <w:lang w:val="en-US" w:eastAsia="zh-CN"/>
        </w:rPr>
        <w:t>日</w:t>
      </w:r>
      <w:r>
        <w:rPr>
          <w:rFonts w:hint="eastAsia" w:ascii="宋体" w:hAnsi="宋体" w:eastAsia="宋体" w:cs="宋体"/>
          <w:b/>
          <w:bCs/>
          <w:color w:val="auto"/>
          <w:sz w:val="28"/>
          <w:szCs w:val="28"/>
          <w:u w:val="single"/>
        </w:rPr>
        <w:t>　　　　</w:t>
      </w:r>
      <w:r>
        <w:rPr>
          <w:rFonts w:hint="eastAsia" w:ascii="宋体" w:hAnsi="宋体" w:eastAsia="宋体" w:cs="宋体"/>
          <w:b/>
          <w:bCs/>
          <w:color w:val="auto"/>
          <w:sz w:val="28"/>
          <w:szCs w:val="28"/>
          <w:u w:val="single"/>
          <w:lang w:val="en-US" w:eastAsia="zh-CN"/>
        </w:rPr>
        <w:t xml:space="preserve"> </w:t>
      </w:r>
    </w:p>
    <w:p w14:paraId="352A3B89">
      <w:pPr>
        <w:rPr>
          <w:rFonts w:hint="eastAsia" w:ascii="宋体" w:hAnsi="宋体" w:eastAsia="宋体" w:cs="宋体"/>
          <w:b/>
          <w:bCs/>
          <w:color w:val="auto"/>
          <w:sz w:val="28"/>
          <w:szCs w:val="36"/>
        </w:rPr>
      </w:pPr>
      <w:r>
        <w:rPr>
          <w:rFonts w:hint="eastAsia" w:ascii="宋体" w:hAnsi="宋体" w:eastAsia="宋体" w:cs="宋体"/>
          <w:b/>
          <w:bCs/>
          <w:color w:val="auto"/>
          <w:sz w:val="28"/>
          <w:szCs w:val="36"/>
        </w:rPr>
        <w:br w:type="page"/>
      </w:r>
    </w:p>
    <w:p w14:paraId="7ED2B21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委托方：</w:t>
      </w:r>
      <w:r>
        <w:rPr>
          <w:rFonts w:hint="eastAsia" w:ascii="宋体" w:hAnsi="宋体" w:cs="宋体"/>
          <w:sz w:val="21"/>
          <w:szCs w:val="21"/>
          <w:lang w:val="en-US" w:eastAsia="zh-CN"/>
        </w:rPr>
        <w:t xml:space="preserve">                </w:t>
      </w:r>
      <w:r>
        <w:rPr>
          <w:rFonts w:hint="eastAsia" w:ascii="宋体" w:hAnsi="宋体" w:eastAsia="宋体" w:cs="宋体"/>
          <w:sz w:val="21"/>
          <w:szCs w:val="21"/>
        </w:rPr>
        <w:t>（以下简称甲方）</w:t>
      </w:r>
    </w:p>
    <w:p w14:paraId="6EC4591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承接方：</w:t>
      </w:r>
      <w:r>
        <w:rPr>
          <w:rFonts w:hint="eastAsia" w:ascii="宋体" w:hAnsi="宋体" w:cs="宋体"/>
          <w:sz w:val="21"/>
          <w:szCs w:val="21"/>
          <w:lang w:val="en-US" w:eastAsia="zh-CN"/>
        </w:rPr>
        <w:t xml:space="preserve">                </w:t>
      </w:r>
      <w:r>
        <w:rPr>
          <w:rFonts w:hint="eastAsia" w:ascii="宋体" w:hAnsi="宋体" w:eastAsia="宋体" w:cs="宋体"/>
          <w:sz w:val="21"/>
          <w:szCs w:val="21"/>
        </w:rPr>
        <w:t>（以下简称乙方）</w:t>
      </w:r>
    </w:p>
    <w:p w14:paraId="48BE65E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sz w:val="21"/>
          <w:szCs w:val="21"/>
        </w:rPr>
      </w:pPr>
    </w:p>
    <w:p w14:paraId="177667F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Cs/>
          <w:sz w:val="21"/>
          <w:szCs w:val="21"/>
        </w:rPr>
        <w:t>依据《中华人民共和国</w:t>
      </w:r>
      <w:r>
        <w:rPr>
          <w:rFonts w:hint="eastAsia" w:ascii="宋体" w:hAnsi="宋体" w:eastAsia="宋体" w:cs="宋体"/>
          <w:bCs/>
          <w:sz w:val="21"/>
          <w:szCs w:val="21"/>
          <w:lang w:val="en-US"/>
        </w:rPr>
        <w:t>民法典</w:t>
      </w:r>
      <w:r>
        <w:rPr>
          <w:rFonts w:hint="eastAsia" w:ascii="宋体" w:hAnsi="宋体" w:eastAsia="宋体" w:cs="宋体"/>
          <w:bCs/>
          <w:sz w:val="21"/>
          <w:szCs w:val="21"/>
        </w:rPr>
        <w:t>》和《中华人民共和国政府采购法》及相关法律法规的规定，</w:t>
      </w:r>
      <w:r>
        <w:rPr>
          <w:rFonts w:hint="eastAsia" w:ascii="宋体" w:hAnsi="宋体" w:eastAsia="宋体" w:cs="宋体"/>
          <w:sz w:val="21"/>
          <w:szCs w:val="21"/>
        </w:rPr>
        <w:t>结合该</w:t>
      </w:r>
      <w:r>
        <w:rPr>
          <w:rFonts w:hint="eastAsia" w:ascii="宋体" w:hAnsi="宋体" w:eastAsia="宋体" w:cs="宋体"/>
          <w:sz w:val="21"/>
          <w:szCs w:val="21"/>
          <w:lang w:eastAsia="zh-CN"/>
        </w:rPr>
        <w:t>项目</w:t>
      </w:r>
      <w:r>
        <w:rPr>
          <w:rFonts w:hint="eastAsia" w:ascii="宋体" w:hAnsi="宋体" w:eastAsia="宋体" w:cs="宋体"/>
          <w:sz w:val="21"/>
          <w:szCs w:val="21"/>
        </w:rPr>
        <w:t>的具体情况，为明确责任、分工协作，协作配合，经双方协商一致，就本</w:t>
      </w:r>
      <w:r>
        <w:rPr>
          <w:rFonts w:hint="eastAsia" w:ascii="宋体" w:hAnsi="宋体" w:eastAsia="宋体" w:cs="宋体"/>
          <w:sz w:val="21"/>
          <w:szCs w:val="21"/>
          <w:lang w:eastAsia="zh-CN"/>
        </w:rPr>
        <w:t>项目</w:t>
      </w:r>
      <w:r>
        <w:rPr>
          <w:rFonts w:hint="eastAsia" w:ascii="宋体" w:hAnsi="宋体" w:eastAsia="宋体" w:cs="宋体"/>
          <w:sz w:val="21"/>
          <w:szCs w:val="21"/>
        </w:rPr>
        <w:t>监测工作签订合同，共同遵守。</w:t>
      </w:r>
    </w:p>
    <w:p w14:paraId="48712627">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rPr>
          <w:rFonts w:hint="default" w:ascii="宋体" w:hAnsi="宋体" w:eastAsia="宋体" w:cs="宋体"/>
          <w:sz w:val="21"/>
          <w:szCs w:val="21"/>
          <w:lang w:val="en-US" w:eastAsia="zh-CN"/>
        </w:rPr>
      </w:pPr>
      <w:r>
        <w:rPr>
          <w:rFonts w:hint="eastAsia" w:ascii="宋体" w:hAnsi="宋体" w:eastAsia="宋体" w:cs="宋体"/>
          <w:b/>
          <w:sz w:val="21"/>
          <w:szCs w:val="21"/>
        </w:rPr>
        <w:t>第一条</w:t>
      </w:r>
      <w:r>
        <w:rPr>
          <w:rFonts w:hint="eastAsia" w:ascii="宋体" w:hAnsi="宋体" w:eastAsia="宋体" w:cs="宋体"/>
          <w:b/>
          <w:sz w:val="21"/>
          <w:szCs w:val="21"/>
          <w:lang w:val="en-US" w:eastAsia="zh-CN"/>
        </w:rPr>
        <w:t xml:space="preserve"> </w:t>
      </w:r>
      <w:r>
        <w:rPr>
          <w:rFonts w:hint="eastAsia" w:ascii="宋体" w:hAnsi="宋体" w:eastAsia="宋体" w:cs="宋体"/>
          <w:b/>
          <w:sz w:val="21"/>
          <w:szCs w:val="21"/>
        </w:rPr>
        <w:t>项目名称：</w:t>
      </w:r>
      <w:r>
        <w:rPr>
          <w:rFonts w:hint="eastAsia" w:ascii="宋体" w:hAnsi="宋体" w:cs="宋体"/>
          <w:b/>
          <w:sz w:val="21"/>
          <w:szCs w:val="21"/>
          <w:u w:val="single"/>
          <w:lang w:val="en-US" w:eastAsia="zh-CN"/>
        </w:rPr>
        <w:t xml:space="preserve">                        </w:t>
      </w:r>
    </w:p>
    <w:p w14:paraId="33A690FD">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rPr>
          <w:rFonts w:hint="default" w:ascii="宋体" w:hAnsi="宋体" w:eastAsia="宋体" w:cs="宋体"/>
          <w:sz w:val="21"/>
          <w:szCs w:val="21"/>
          <w:lang w:val="en-US" w:eastAsia="zh-CN"/>
        </w:rPr>
      </w:pPr>
      <w:r>
        <w:rPr>
          <w:rFonts w:hint="eastAsia" w:ascii="宋体" w:hAnsi="宋体" w:eastAsia="宋体" w:cs="宋体"/>
          <w:b/>
          <w:sz w:val="21"/>
          <w:szCs w:val="21"/>
        </w:rPr>
        <w:t>第二条</w:t>
      </w:r>
      <w:r>
        <w:rPr>
          <w:rFonts w:hint="eastAsia" w:ascii="宋体" w:hAnsi="宋体" w:eastAsia="宋体" w:cs="宋体"/>
          <w:b/>
          <w:sz w:val="21"/>
          <w:szCs w:val="21"/>
          <w:lang w:val="en-US" w:eastAsia="zh-CN"/>
        </w:rPr>
        <w:t xml:space="preserve"> 项目实施</w:t>
      </w:r>
      <w:r>
        <w:rPr>
          <w:rFonts w:hint="eastAsia" w:ascii="宋体" w:hAnsi="宋体" w:eastAsia="宋体" w:cs="宋体"/>
          <w:b/>
          <w:sz w:val="21"/>
          <w:szCs w:val="21"/>
        </w:rPr>
        <w:t>地点：</w:t>
      </w:r>
      <w:r>
        <w:rPr>
          <w:rFonts w:hint="eastAsia" w:ascii="宋体" w:hAnsi="宋体" w:eastAsia="宋体" w:cs="宋体"/>
          <w:b w:val="0"/>
          <w:bCs/>
          <w:sz w:val="21"/>
          <w:szCs w:val="21"/>
          <w:u w:val="single"/>
        </w:rPr>
        <w:t>张学良将军公馆</w:t>
      </w:r>
    </w:p>
    <w:p w14:paraId="42C3FDF7">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第三条 工作内容</w:t>
      </w:r>
    </w:p>
    <w:p w14:paraId="46D9DFD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（1）安装自动化监测设备：静力水准仪沉降监测设备、裂缝监测设备、倾角监测设备；</w:t>
      </w:r>
    </w:p>
    <w:p w14:paraId="2C0DCE2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（2）常规监测频次为一天1次，可根据项目实际需求实时调整；</w:t>
      </w:r>
    </w:p>
    <w:p w14:paraId="38A39BF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eastAsia="zh-CN"/>
        </w:rPr>
      </w:pPr>
      <w:r>
        <w:rPr>
          <w:rFonts w:hint="eastAsia" w:ascii="宋体" w:hAnsi="宋体" w:cs="宋体"/>
          <w:bCs/>
          <w:sz w:val="21"/>
          <w:szCs w:val="21"/>
          <w:lang w:eastAsia="zh-CN"/>
        </w:rPr>
        <w:t>（</w:t>
      </w:r>
      <w:r>
        <w:rPr>
          <w:rFonts w:hint="eastAsia" w:ascii="宋体" w:hAnsi="宋体" w:cs="宋体"/>
          <w:bCs/>
          <w:sz w:val="21"/>
          <w:szCs w:val="21"/>
          <w:lang w:val="en-US" w:eastAsia="zh-CN"/>
        </w:rPr>
        <w:t>3</w:t>
      </w:r>
      <w:r>
        <w:rPr>
          <w:rFonts w:hint="eastAsia" w:ascii="宋体" w:hAnsi="宋体" w:cs="宋体"/>
          <w:bCs/>
          <w:sz w:val="21"/>
          <w:szCs w:val="21"/>
          <w:lang w:eastAsia="zh-CN"/>
        </w:rPr>
        <w:t>）</w:t>
      </w:r>
      <w:r>
        <w:rPr>
          <w:rFonts w:hint="eastAsia" w:ascii="宋体" w:hAnsi="宋体" w:eastAsia="宋体" w:cs="宋体"/>
          <w:bCs/>
          <w:sz w:val="21"/>
          <w:szCs w:val="21"/>
        </w:rPr>
        <w:t>每日出具变形监测成果简报（日报），每月出具变形监测成果月报（月报），并于项目结束后出具总报告（总报告）</w:t>
      </w:r>
      <w:r>
        <w:rPr>
          <w:rFonts w:hint="eastAsia"/>
          <w:lang w:eastAsia="zh-CN"/>
        </w:rPr>
        <w:t>。</w:t>
      </w:r>
    </w:p>
    <w:p w14:paraId="497F1E1A">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sz w:val="21"/>
          <w:szCs w:val="21"/>
          <w:highlight w:val="yellow"/>
        </w:rPr>
      </w:pPr>
      <w:r>
        <w:rPr>
          <w:rFonts w:hint="eastAsia" w:ascii="宋体" w:hAnsi="宋体" w:eastAsia="宋体" w:cs="宋体"/>
          <w:b/>
          <w:sz w:val="21"/>
          <w:szCs w:val="21"/>
          <w:highlight w:val="none"/>
        </w:rPr>
        <w:t>第四条 服务期</w:t>
      </w:r>
      <w:r>
        <w:rPr>
          <w:rFonts w:hint="eastAsia" w:ascii="宋体" w:hAnsi="宋体" w:eastAsia="宋体" w:cs="宋体"/>
          <w:bCs/>
          <w:sz w:val="21"/>
          <w:szCs w:val="21"/>
          <w:highlight w:val="none"/>
        </w:rPr>
        <w:t>：</w:t>
      </w:r>
      <w:r>
        <w:rPr>
          <w:rFonts w:hint="eastAsia" w:ascii="宋体" w:hAnsi="宋体" w:cs="宋体"/>
          <w:bCs/>
          <w:sz w:val="21"/>
          <w:szCs w:val="21"/>
          <w:highlight w:val="none"/>
          <w:u w:val="single"/>
          <w:lang w:val="en-US" w:eastAsia="zh-CN"/>
        </w:rPr>
        <w:t>自合同签订之日起</w:t>
      </w:r>
      <w:r>
        <w:rPr>
          <w:rFonts w:hint="eastAsia" w:ascii="宋体" w:hAnsi="宋体" w:eastAsia="宋体" w:cs="宋体"/>
          <w:color w:val="auto"/>
          <w:sz w:val="21"/>
          <w:szCs w:val="21"/>
          <w:highlight w:val="none"/>
          <w:u w:val="single"/>
          <w:lang w:val="en-US" w:eastAsia="zh-CN"/>
        </w:rPr>
        <w:t>一年</w:t>
      </w:r>
      <w:r>
        <w:rPr>
          <w:rFonts w:hint="eastAsia" w:ascii="宋体" w:hAnsi="宋体" w:eastAsia="宋体" w:cs="宋体"/>
          <w:bCs/>
          <w:sz w:val="21"/>
          <w:szCs w:val="21"/>
          <w:highlight w:val="none"/>
          <w:u w:val="single"/>
          <w:lang w:val="en-US" w:eastAsia="zh-CN"/>
        </w:rPr>
        <w:t>。</w:t>
      </w:r>
    </w:p>
    <w:p w14:paraId="0E61C45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sz w:val="21"/>
          <w:szCs w:val="21"/>
          <w:highlight w:val="none"/>
        </w:rPr>
      </w:pPr>
      <w:r>
        <w:rPr>
          <w:rFonts w:hint="eastAsia" w:ascii="宋体" w:hAnsi="宋体" w:eastAsia="宋体" w:cs="宋体"/>
          <w:b/>
          <w:kern w:val="2"/>
          <w:sz w:val="21"/>
          <w:szCs w:val="21"/>
          <w:highlight w:val="none"/>
          <w:lang w:val="en-US" w:eastAsia="zh-CN" w:bidi="ar-SA"/>
        </w:rPr>
        <w:t xml:space="preserve">第五条 </w:t>
      </w:r>
      <w:r>
        <w:rPr>
          <w:rFonts w:hint="eastAsia" w:ascii="宋体" w:hAnsi="宋体" w:cs="宋体"/>
          <w:b/>
          <w:kern w:val="2"/>
          <w:sz w:val="21"/>
          <w:szCs w:val="21"/>
          <w:highlight w:val="none"/>
          <w:lang w:val="en-US" w:eastAsia="zh-CN" w:bidi="ar-SA"/>
        </w:rPr>
        <w:t>合同价款及</w:t>
      </w:r>
      <w:r>
        <w:rPr>
          <w:rFonts w:hint="eastAsia" w:ascii="宋体" w:hAnsi="宋体" w:eastAsia="宋体" w:cs="宋体"/>
          <w:b/>
          <w:sz w:val="21"/>
          <w:szCs w:val="21"/>
          <w:highlight w:val="none"/>
        </w:rPr>
        <w:t>款项结算</w:t>
      </w:r>
    </w:p>
    <w:p w14:paraId="34C8D95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1.合同价款：人民币（大写）</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lang w:val="en-US" w:eastAsia="zh-CN"/>
        </w:rPr>
        <w:t>，（小写）</w:t>
      </w:r>
      <w:r>
        <w:rPr>
          <w:rFonts w:hint="eastAsia" w:ascii="宋体" w:hAnsi="宋体" w:eastAsia="宋体" w:cs="宋体"/>
          <w:bCs/>
          <w:sz w:val="21"/>
          <w:szCs w:val="21"/>
          <w:u w:val="single"/>
          <w:lang w:val="en-US" w:eastAsia="zh-CN"/>
        </w:rPr>
        <w:t>¥</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lang w:val="en-US" w:eastAsia="zh-CN"/>
        </w:rPr>
        <w:t>元。</w:t>
      </w:r>
    </w:p>
    <w:p w14:paraId="7F157F3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2.付款方式</w:t>
      </w:r>
    </w:p>
    <w:p w14:paraId="30B53F3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本合同签订且市级文保资金下达后10日内，甲方向乙方支付合同款的40%作为预付款；（2）本项目前三个季度监测工作完成后10日内，甲方向乙方支付合同款的40%作为进度款；（3）第四个季度末，在甲方向乙方支付剩余尾款，但乙方需承诺其按本合同约定完成剩余全部工作且达到验收合格标准；达到支付条件后10天内，支付到合同总价的100%。</w:t>
      </w:r>
    </w:p>
    <w:p w14:paraId="3420B08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3.乙方开户银行指定账户为：</w:t>
      </w:r>
    </w:p>
    <w:p w14:paraId="3A2DBB6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收款人：</w:t>
      </w:r>
    </w:p>
    <w:p w14:paraId="0128234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开户行：</w:t>
      </w:r>
    </w:p>
    <w:p w14:paraId="4BE8861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账号：</w:t>
      </w:r>
    </w:p>
    <w:p w14:paraId="337CE05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甲方付款前，乙方应向甲方开具正式等额发票，否则甲方有权延迟履行付款义务。</w:t>
      </w:r>
    </w:p>
    <w:p w14:paraId="6C568E0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kern w:val="2"/>
          <w:sz w:val="21"/>
          <w:szCs w:val="21"/>
          <w:highlight w:val="none"/>
          <w:lang w:val="en-US" w:eastAsia="zh-CN" w:bidi="ar-SA"/>
        </w:rPr>
      </w:pPr>
      <w:r>
        <w:rPr>
          <w:rFonts w:hint="eastAsia" w:ascii="宋体" w:hAnsi="宋体" w:eastAsia="宋体" w:cs="宋体"/>
          <w:b/>
          <w:kern w:val="2"/>
          <w:sz w:val="21"/>
          <w:szCs w:val="21"/>
          <w:highlight w:val="none"/>
          <w:lang w:val="en-US" w:eastAsia="zh-CN" w:bidi="ar-SA"/>
        </w:rPr>
        <w:t>第六条 甲方责任</w:t>
      </w:r>
    </w:p>
    <w:p w14:paraId="5A3A4D7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6.1 提供监测范围相关资料，配合乙方在现场确定自动化监测监测点位、仪器安装位置和电缆线现场走向。</w:t>
      </w:r>
    </w:p>
    <w:p w14:paraId="7FD8216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6.2 为乙方监测人员办理监测期间通行证，协调现场各方关系，协调采集器和网络控制器等仪器设备的市电接入安装，保证乙方在现场顺利开展工作。</w:t>
      </w:r>
    </w:p>
    <w:p w14:paraId="272ABB1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6.3 按合同约定支付</w:t>
      </w:r>
      <w:r>
        <w:rPr>
          <w:rFonts w:hint="eastAsia" w:ascii="宋体" w:hAnsi="宋体" w:cs="宋体"/>
          <w:sz w:val="21"/>
          <w:szCs w:val="21"/>
          <w:lang w:val="en-US" w:eastAsia="zh-CN"/>
        </w:rPr>
        <w:t>服务</w:t>
      </w:r>
      <w:r>
        <w:rPr>
          <w:rFonts w:hint="eastAsia" w:ascii="宋体" w:hAnsi="宋体" w:eastAsia="宋体" w:cs="宋体"/>
          <w:sz w:val="21"/>
          <w:szCs w:val="21"/>
        </w:rPr>
        <w:t>费用。</w:t>
      </w:r>
    </w:p>
    <w:p w14:paraId="6C01AA3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6.4乙方为完成本合同所产生的所有知识产权及相关权利归甲方享有。乙方未经甲方书面许可不得将其观测成果用于本合同约定范围以外的其他事项。</w:t>
      </w:r>
    </w:p>
    <w:p w14:paraId="3E7773AB">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sz w:val="21"/>
          <w:szCs w:val="21"/>
        </w:rPr>
      </w:pPr>
      <w:r>
        <w:rPr>
          <w:rFonts w:hint="eastAsia" w:ascii="宋体" w:hAnsi="宋体" w:eastAsia="宋体" w:cs="宋体"/>
          <w:b/>
          <w:sz w:val="21"/>
          <w:szCs w:val="21"/>
        </w:rPr>
        <w:t>第七条 乙方责任</w:t>
      </w:r>
    </w:p>
    <w:p w14:paraId="2CDE6CA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7.1 和甲方共同确定自动化监测监测点位、仪器安装位置和电缆线现场走向。</w:t>
      </w:r>
    </w:p>
    <w:p w14:paraId="5C12F1F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7.2 埋设、安装自动化监测传感器和仪器设备，协助甲方保护监测设施，各种设施的设置应符合甲方文物保护的要求。</w:t>
      </w:r>
    </w:p>
    <w:p w14:paraId="1967740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7.3 严格按照《规范》要求和合同约定进行变形监测，并提交相应成果，对提交的成果资料的科学性和严谨性负责。</w:t>
      </w:r>
    </w:p>
    <w:p w14:paraId="4292819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7.4 仪器设备安装作业施工期间，应文明</w:t>
      </w:r>
      <w:r>
        <w:rPr>
          <w:rFonts w:hint="eastAsia" w:ascii="宋体" w:hAnsi="宋体" w:eastAsia="宋体" w:cs="宋体"/>
          <w:color w:val="auto"/>
          <w:sz w:val="21"/>
          <w:szCs w:val="21"/>
        </w:rPr>
        <w:t>安全作业，且负</w:t>
      </w:r>
      <w:r>
        <w:rPr>
          <w:rFonts w:hint="eastAsia" w:ascii="宋体" w:hAnsi="宋体" w:eastAsia="宋体" w:cs="宋体"/>
          <w:color w:val="auto"/>
          <w:sz w:val="21"/>
          <w:szCs w:val="21"/>
          <w:lang w:eastAsia="zh-CN"/>
        </w:rPr>
        <w:t>责</w:t>
      </w:r>
      <w:r>
        <w:rPr>
          <w:rFonts w:hint="eastAsia" w:ascii="宋体" w:hAnsi="宋体" w:eastAsia="宋体" w:cs="宋体"/>
          <w:color w:val="auto"/>
          <w:sz w:val="21"/>
          <w:szCs w:val="21"/>
        </w:rPr>
        <w:t>设施、设备及自身人员的安全。同时应对甲方及第三人的安全尽到注意义务，对</w:t>
      </w:r>
      <w:r>
        <w:rPr>
          <w:rFonts w:hint="eastAsia" w:ascii="宋体" w:hAnsi="宋体" w:cs="宋体"/>
          <w:color w:val="auto"/>
          <w:sz w:val="21"/>
          <w:szCs w:val="21"/>
          <w:lang w:val="en-US" w:eastAsia="zh-CN"/>
        </w:rPr>
        <w:t>张学良将军公馆建筑物</w:t>
      </w:r>
      <w:r>
        <w:rPr>
          <w:rFonts w:hint="eastAsia" w:ascii="宋体" w:hAnsi="宋体" w:eastAsia="宋体" w:cs="宋体"/>
          <w:color w:val="auto"/>
          <w:sz w:val="21"/>
          <w:szCs w:val="21"/>
        </w:rPr>
        <w:t>的安全情况</w:t>
      </w:r>
      <w:r>
        <w:rPr>
          <w:rFonts w:hint="eastAsia" w:ascii="宋体" w:hAnsi="宋体" w:eastAsia="宋体" w:cs="宋体"/>
          <w:sz w:val="21"/>
          <w:szCs w:val="21"/>
        </w:rPr>
        <w:t>负有在24小时内向甲方报告的责任。</w:t>
      </w:r>
    </w:p>
    <w:p w14:paraId="1EC8D5F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7.5 监测过程中，若发现变形情况，在预警和特殊紧急情况下向甲方提出相应建议。</w:t>
      </w:r>
    </w:p>
    <w:p w14:paraId="6AB59C0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7.6 乙方自行承担本合同履行过程中发生的一切人身、财产纠纷、损失和法律责任。</w:t>
      </w:r>
    </w:p>
    <w:p w14:paraId="1EAC1B9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7.7</w:t>
      </w:r>
      <w:r>
        <w:rPr>
          <w:rFonts w:hint="eastAsia" w:ascii="宋体" w:hAnsi="宋体" w:cs="宋体"/>
          <w:sz w:val="21"/>
          <w:szCs w:val="21"/>
          <w:lang w:val="en-US" w:eastAsia="zh-CN"/>
        </w:rPr>
        <w:t xml:space="preserve"> </w:t>
      </w:r>
      <w:r>
        <w:rPr>
          <w:rFonts w:hint="eastAsia" w:ascii="宋体" w:hAnsi="宋体" w:eastAsia="宋体" w:cs="宋体"/>
          <w:sz w:val="21"/>
          <w:szCs w:val="21"/>
        </w:rPr>
        <w:t>收到甲方通知进场监测后，及时制定详细的实施技术方案，将该方案报甲方审核，经甲方审核确认后安排实施。但是甲方的审核、签字、确认等行为不视为甲方对乙方提供的测量技术方案安全性、合法合规性的认可，乙方的技术方案出现任何违法违规问题或有不科学之处，由乙方自行承担责任，甲方不对此承担任何责任。</w:t>
      </w:r>
    </w:p>
    <w:p w14:paraId="05C90DA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sz w:val="21"/>
          <w:szCs w:val="21"/>
        </w:rPr>
        <w:t>7.8按合同内容、进度及质量要求完成监测任务，提交的报告应符合国家有关技术规范和标准以及本合同的约定，如达不到设计及施工要求时，乙方应无偿继续工作，直至达到要求。乙方承担因自身技术原因造成</w:t>
      </w:r>
      <w:r>
        <w:rPr>
          <w:rFonts w:hint="eastAsia" w:ascii="宋体" w:hAnsi="宋体" w:eastAsia="宋体" w:cs="宋体"/>
          <w:color w:val="auto"/>
          <w:sz w:val="21"/>
          <w:szCs w:val="21"/>
        </w:rPr>
        <w:t>的返工损失。</w:t>
      </w:r>
    </w:p>
    <w:p w14:paraId="2515EF5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7.9 按本合同约定时间提交最终监测报告，在监测过程中，如监测结果异常应在</w:t>
      </w:r>
      <w:r>
        <w:rPr>
          <w:rFonts w:hint="eastAsia" w:ascii="宋体" w:hAnsi="宋体" w:eastAsia="宋体" w:cs="宋体"/>
          <w:color w:val="auto"/>
          <w:sz w:val="21"/>
          <w:szCs w:val="21"/>
          <w:lang w:val="en-US" w:eastAsia="zh-CN"/>
        </w:rPr>
        <w:t>24</w:t>
      </w:r>
      <w:r>
        <w:rPr>
          <w:rFonts w:hint="eastAsia" w:ascii="宋体" w:hAnsi="宋体" w:eastAsia="宋体" w:cs="宋体"/>
          <w:color w:val="auto"/>
          <w:sz w:val="21"/>
          <w:szCs w:val="21"/>
        </w:rPr>
        <w:t>小时内向甲方书面反映。</w:t>
      </w:r>
    </w:p>
    <w:p w14:paraId="6B67046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7.10 乙方保证本合同履行过程中提交给甲方的数据、报告等文件资料，不侵犯任何第三方的合法权益，如有违反，乙方应承担由此引发的一起纠纷、损失和法律责任。如因上述原因致使甲方陷入包括但不限于诉讼等形式的纠纷时，乙方应承担甲方为此支付的一切费用（包括但不限于赔偿金、违约金、律师费、诉讼费等）</w:t>
      </w:r>
    </w:p>
    <w:p w14:paraId="4EB57EBD">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第八条 违约责任</w:t>
      </w:r>
    </w:p>
    <w:p w14:paraId="14188A4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w:t>
      </w:r>
      <w:r>
        <w:rPr>
          <w:rFonts w:hint="eastAsia" w:ascii="宋体" w:hAnsi="宋体" w:cs="宋体"/>
          <w:color w:val="auto"/>
          <w:sz w:val="21"/>
          <w:szCs w:val="21"/>
          <w:lang w:val="en-US" w:eastAsia="zh-CN"/>
        </w:rPr>
        <w:t>1</w:t>
      </w:r>
      <w:r>
        <w:rPr>
          <w:rFonts w:hint="eastAsia" w:ascii="宋体" w:hAnsi="宋体" w:eastAsia="宋体" w:cs="宋体"/>
          <w:color w:val="auto"/>
          <w:sz w:val="21"/>
          <w:szCs w:val="21"/>
        </w:rPr>
        <w:t xml:space="preserve"> 在合同履行期间，除本合同另有约定外，甲方无故单方要求终止或解除合同，乙方未开始工作的，双方互不承担违约及损害赔偿责任，乙方在3日内返还甲方已付费用；已进行工作的，甲方应根据甲方确认的乙方已进行的实际工作量，据实支付监测费用，除此之外，甲方不承担其他违约或损坏赔偿责任。 </w:t>
      </w:r>
    </w:p>
    <w:p w14:paraId="6B69243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w:t>
      </w:r>
      <w:r>
        <w:rPr>
          <w:rFonts w:hint="eastAsia" w:ascii="宋体" w:hAnsi="宋体" w:cs="宋体"/>
          <w:color w:val="auto"/>
          <w:sz w:val="21"/>
          <w:szCs w:val="21"/>
          <w:lang w:val="en-US" w:eastAsia="zh-CN"/>
        </w:rPr>
        <w:t>2</w:t>
      </w:r>
      <w:r>
        <w:rPr>
          <w:rFonts w:hint="eastAsia" w:ascii="宋体" w:hAnsi="宋体" w:eastAsia="宋体" w:cs="宋体"/>
          <w:color w:val="auto"/>
          <w:sz w:val="21"/>
          <w:szCs w:val="21"/>
        </w:rPr>
        <w:t xml:space="preserve"> 甲方未按合同规定日期及时拨付费用，甲方应按延误天数和当时银行贷款利率，支付违约金；</w:t>
      </w:r>
    </w:p>
    <w:p w14:paraId="4056961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w:t>
      </w:r>
      <w:r>
        <w:rPr>
          <w:rFonts w:hint="eastAsia" w:ascii="宋体" w:hAnsi="宋体" w:cs="宋体"/>
          <w:color w:val="auto"/>
          <w:sz w:val="21"/>
          <w:szCs w:val="21"/>
          <w:lang w:val="en-US" w:eastAsia="zh-CN"/>
        </w:rPr>
        <w:t>3</w:t>
      </w:r>
      <w:r>
        <w:rPr>
          <w:rFonts w:hint="eastAsia" w:ascii="宋体" w:hAnsi="宋体" w:eastAsia="宋体" w:cs="宋体"/>
          <w:color w:val="auto"/>
          <w:sz w:val="21"/>
          <w:szCs w:val="21"/>
        </w:rPr>
        <w:t xml:space="preserve"> 乙方未按合同规定日期提交监测成果或违反合同有其他时间要求的工作的，乙方应按延误天数每天千分之一/日支付违约金，逾期达7日，甲方有权解除合同，不再支付任何费用，同时乙方应承担合同总价款20%的合同解除违约金。</w:t>
      </w:r>
    </w:p>
    <w:p w14:paraId="754CFD8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w:t>
      </w: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 xml:space="preserve"> 由于乙方原因造成交付的报告、成果、文件达不到合同约定条件的部分，甲方可要求乙方返工，直到符合约定条件，由乙方承担返工费，返工后仍不能达到约定条件，甲方有权解除合同，乙方应在3日内返还甲方已付全部费用，并承担合同总价款20%的合同解除违约金。</w:t>
      </w:r>
    </w:p>
    <w:p w14:paraId="2CBD89D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w:t>
      </w:r>
      <w:r>
        <w:rPr>
          <w:rFonts w:hint="eastAsia" w:ascii="宋体" w:hAnsi="宋体" w:cs="宋体"/>
          <w:color w:val="auto"/>
          <w:sz w:val="21"/>
          <w:szCs w:val="21"/>
          <w:lang w:val="en-US" w:eastAsia="zh-CN"/>
        </w:rPr>
        <w:t xml:space="preserve">5 </w:t>
      </w:r>
      <w:r>
        <w:rPr>
          <w:rFonts w:hint="eastAsia" w:ascii="宋体" w:hAnsi="宋体" w:eastAsia="宋体" w:cs="宋体"/>
          <w:color w:val="auto"/>
          <w:sz w:val="21"/>
          <w:szCs w:val="21"/>
        </w:rPr>
        <w:t>乙方确保具有履行本合同项下约定事项的合法资质，如有违反，甲方有权立即解除合同，不再支付任何费用，乙方应在3日内返还甲方已付全部费用，同时乙方应承担承担合同暂定总价款 20%的合同解除违约金。</w:t>
      </w:r>
    </w:p>
    <w:p w14:paraId="2F40F5C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w:t>
      </w:r>
      <w:r>
        <w:rPr>
          <w:rFonts w:hint="eastAsia" w:ascii="宋体" w:hAnsi="宋体" w:cs="宋体"/>
          <w:color w:val="auto"/>
          <w:sz w:val="21"/>
          <w:szCs w:val="21"/>
          <w:lang w:val="en-US" w:eastAsia="zh-CN"/>
        </w:rPr>
        <w:t xml:space="preserve">6 </w:t>
      </w:r>
      <w:r>
        <w:rPr>
          <w:rFonts w:hint="eastAsia" w:ascii="宋体" w:hAnsi="宋体" w:eastAsia="宋体" w:cs="宋体"/>
          <w:color w:val="auto"/>
          <w:sz w:val="21"/>
          <w:szCs w:val="21"/>
        </w:rPr>
        <w:t>乙方的工作人员，在工作期间获悉的甲方有关资料等不得用于除完成本合同项下义务外的其他任何地方，也不得将获知的技术、资料、图纸等告知其他任何第三方，否则，乙方应赔偿由此给甲方造成的一切损失。</w:t>
      </w:r>
    </w:p>
    <w:p w14:paraId="38A5C5C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w:t>
      </w:r>
      <w:r>
        <w:rPr>
          <w:rFonts w:hint="eastAsia" w:ascii="宋体" w:hAnsi="宋体" w:cs="宋体"/>
          <w:color w:val="auto"/>
          <w:sz w:val="21"/>
          <w:szCs w:val="21"/>
          <w:lang w:val="en-US" w:eastAsia="zh-CN"/>
        </w:rPr>
        <w:t xml:space="preserve">7 </w:t>
      </w:r>
      <w:r>
        <w:rPr>
          <w:rFonts w:hint="eastAsia" w:ascii="宋体" w:hAnsi="宋体" w:eastAsia="宋体" w:cs="宋体"/>
          <w:color w:val="auto"/>
          <w:sz w:val="21"/>
          <w:szCs w:val="21"/>
        </w:rPr>
        <w:t>本合同履行过程中，如有争议，双方协商解决，协商不成时，任何一方均有权将争议提交甲方所在地有管辖权的人民法院诉讼解决。</w:t>
      </w:r>
    </w:p>
    <w:p w14:paraId="13CDDD81">
      <w:pPr>
        <w:pStyle w:val="7"/>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kern w:val="2"/>
          <w:sz w:val="21"/>
          <w:szCs w:val="21"/>
          <w:lang w:val="en-US" w:eastAsia="zh-CN" w:bidi="ar-SA"/>
        </w:rPr>
        <w:t xml:space="preserve">第九条  </w:t>
      </w:r>
      <w:r>
        <w:rPr>
          <w:rFonts w:hint="eastAsia" w:ascii="宋体" w:hAnsi="宋体" w:eastAsia="宋体" w:cs="宋体"/>
          <w:b/>
          <w:color w:val="auto"/>
          <w:sz w:val="21"/>
          <w:szCs w:val="21"/>
          <w:lang w:val="en-US" w:eastAsia="zh-CN"/>
        </w:rPr>
        <w:t>验收</w:t>
      </w:r>
    </w:p>
    <w:p w14:paraId="6CD8A477">
      <w:pPr>
        <w:pStyle w:val="7"/>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color w:val="auto"/>
          <w:sz w:val="21"/>
          <w:szCs w:val="21"/>
          <w:lang w:val="en-US" w:eastAsia="zh-CN"/>
        </w:rPr>
      </w:pPr>
      <w:r>
        <w:rPr>
          <w:rFonts w:hint="eastAsia" w:hAnsi="宋体" w:cs="宋体"/>
          <w:b w:val="0"/>
          <w:bCs/>
          <w:color w:val="auto"/>
          <w:sz w:val="21"/>
          <w:szCs w:val="21"/>
          <w:highlight w:val="none"/>
          <w:lang w:eastAsia="zh-CN"/>
        </w:rPr>
        <w:t>（</w:t>
      </w:r>
      <w:r>
        <w:rPr>
          <w:rFonts w:hint="eastAsia" w:hAnsi="宋体" w:cs="宋体"/>
          <w:b w:val="0"/>
          <w:bCs/>
          <w:color w:val="auto"/>
          <w:sz w:val="21"/>
          <w:szCs w:val="21"/>
          <w:highlight w:val="none"/>
          <w:lang w:val="en-US" w:eastAsia="zh-CN"/>
        </w:rPr>
        <w:t>1</w:t>
      </w:r>
      <w:r>
        <w:rPr>
          <w:rFonts w:hint="eastAsia"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供应商提供的服务最终验收达不到磋商文件要求和响应文件承诺及国家或行业标准，或在使用中发现采购人不能容忍的缺陷等，将视为验收不合格，供应商应在采购人要求的时间内无条件完善或要求赔付采购人损失。</w:t>
      </w:r>
      <w:r>
        <w:rPr>
          <w:rFonts w:hint="eastAsia" w:hAnsi="宋体" w:cs="宋体"/>
          <w:b w:val="0"/>
          <w:bCs/>
          <w:color w:val="auto"/>
          <w:sz w:val="21"/>
          <w:szCs w:val="21"/>
          <w:highlight w:val="none"/>
          <w:lang w:eastAsia="zh-CN"/>
        </w:rPr>
        <w:t>（</w:t>
      </w:r>
      <w:r>
        <w:rPr>
          <w:rFonts w:hint="eastAsia" w:hAnsi="宋体" w:cs="宋体"/>
          <w:b w:val="0"/>
          <w:bCs/>
          <w:color w:val="auto"/>
          <w:sz w:val="21"/>
          <w:szCs w:val="21"/>
          <w:highlight w:val="none"/>
          <w:lang w:val="en-US" w:eastAsia="zh-CN"/>
        </w:rPr>
        <w:t>2</w:t>
      </w:r>
      <w:r>
        <w:rPr>
          <w:rFonts w:hint="eastAsia"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若发现供应商有弄虚作假的，及在项目实施阶段故意或随意夸大服务，本项目合同解除，供应商赔偿采购人相应的损失。</w:t>
      </w:r>
      <w:r>
        <w:rPr>
          <w:rFonts w:hint="eastAsia" w:hAnsi="宋体" w:cs="宋体"/>
          <w:b w:val="0"/>
          <w:bCs/>
          <w:color w:val="auto"/>
          <w:sz w:val="21"/>
          <w:szCs w:val="21"/>
          <w:highlight w:val="none"/>
          <w:lang w:eastAsia="zh-CN"/>
        </w:rPr>
        <w:t>（</w:t>
      </w:r>
      <w:r>
        <w:rPr>
          <w:rFonts w:hint="eastAsia" w:hAnsi="宋体" w:cs="宋体"/>
          <w:b w:val="0"/>
          <w:bCs/>
          <w:color w:val="auto"/>
          <w:sz w:val="21"/>
          <w:szCs w:val="21"/>
          <w:highlight w:val="none"/>
          <w:lang w:val="en-US" w:eastAsia="zh-CN"/>
        </w:rPr>
        <w:t>3</w:t>
      </w:r>
      <w:r>
        <w:rPr>
          <w:rFonts w:hint="eastAsia"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验收标准：按竞争性磋商文件、响应文件及合同约定的各项技术、服务、安全标准的履约情况逐项进行验收确认。</w:t>
      </w:r>
      <w:r>
        <w:rPr>
          <w:rFonts w:hint="eastAsia" w:hAnsi="宋体" w:cs="宋体"/>
          <w:b w:val="0"/>
          <w:bCs/>
          <w:color w:val="auto"/>
          <w:sz w:val="21"/>
          <w:szCs w:val="21"/>
          <w:highlight w:val="none"/>
          <w:lang w:eastAsia="zh-CN"/>
        </w:rPr>
        <w:t>（</w:t>
      </w:r>
      <w:r>
        <w:rPr>
          <w:rFonts w:hint="eastAsia" w:hAnsi="宋体" w:cs="宋体"/>
          <w:b w:val="0"/>
          <w:bCs/>
          <w:color w:val="auto"/>
          <w:sz w:val="21"/>
          <w:szCs w:val="21"/>
          <w:highlight w:val="none"/>
          <w:lang w:val="en-US" w:eastAsia="zh-CN"/>
        </w:rPr>
        <w:t>4</w:t>
      </w:r>
      <w:r>
        <w:rPr>
          <w:rFonts w:hint="eastAsia"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验收合格后，填写验收单，双方盖章、签字生效。</w:t>
      </w:r>
    </w:p>
    <w:p w14:paraId="348DE8CE">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第</w:t>
      </w:r>
      <w:r>
        <w:rPr>
          <w:rFonts w:hint="eastAsia" w:ascii="宋体" w:hAnsi="宋体" w:eastAsia="宋体" w:cs="宋体"/>
          <w:b/>
          <w:color w:val="auto"/>
          <w:sz w:val="21"/>
          <w:szCs w:val="21"/>
          <w:lang w:eastAsia="zh-CN"/>
        </w:rPr>
        <w:t>十</w:t>
      </w:r>
      <w:r>
        <w:rPr>
          <w:rFonts w:hint="eastAsia" w:ascii="宋体" w:hAnsi="宋体" w:eastAsia="宋体" w:cs="宋体"/>
          <w:b/>
          <w:color w:val="auto"/>
          <w:sz w:val="21"/>
          <w:szCs w:val="21"/>
        </w:rPr>
        <w:t>条</w:t>
      </w:r>
      <w:r>
        <w:rPr>
          <w:rFonts w:hint="eastAsia" w:ascii="宋体" w:hAnsi="宋体" w:eastAsia="宋体" w:cs="宋体"/>
          <w:color w:val="auto"/>
          <w:sz w:val="21"/>
          <w:szCs w:val="21"/>
        </w:rPr>
        <w:t xml:space="preserve"> 由于不可抗力，致使合同无法履行时，双方应按有关法律规定及时协商处理。</w:t>
      </w:r>
    </w:p>
    <w:p w14:paraId="2F7E0B03">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第十</w:t>
      </w:r>
      <w:r>
        <w:rPr>
          <w:rFonts w:hint="eastAsia" w:ascii="宋体" w:hAnsi="宋体" w:eastAsia="宋体" w:cs="宋体"/>
          <w:b/>
          <w:color w:val="auto"/>
          <w:sz w:val="21"/>
          <w:szCs w:val="21"/>
          <w:lang w:eastAsia="zh-CN"/>
        </w:rPr>
        <w:t>一</w:t>
      </w:r>
      <w:r>
        <w:rPr>
          <w:rFonts w:hint="eastAsia" w:ascii="宋体" w:hAnsi="宋体" w:eastAsia="宋体" w:cs="宋体"/>
          <w:b/>
          <w:color w:val="auto"/>
          <w:sz w:val="21"/>
          <w:szCs w:val="21"/>
        </w:rPr>
        <w:t xml:space="preserve">条 </w:t>
      </w:r>
      <w:r>
        <w:rPr>
          <w:rFonts w:hint="eastAsia" w:ascii="宋体" w:hAnsi="宋体" w:eastAsia="宋体" w:cs="宋体"/>
          <w:color w:val="auto"/>
          <w:sz w:val="21"/>
          <w:szCs w:val="21"/>
        </w:rPr>
        <w:t>本合同未尽事宜，双方</w:t>
      </w:r>
      <w:r>
        <w:rPr>
          <w:rFonts w:hint="eastAsia" w:ascii="宋体" w:hAnsi="宋体" w:eastAsia="宋体" w:cs="宋体"/>
          <w:sz w:val="21"/>
          <w:szCs w:val="21"/>
        </w:rPr>
        <w:t>友好协商解决，必要时可签补充协议，有关协议、电报、电传、技术讨论纪要等均为合同</w:t>
      </w:r>
      <w:r>
        <w:rPr>
          <w:rFonts w:hint="eastAsia" w:ascii="宋体" w:hAnsi="宋体" w:eastAsia="宋体" w:cs="宋体"/>
          <w:color w:val="auto"/>
          <w:sz w:val="21"/>
          <w:szCs w:val="21"/>
        </w:rPr>
        <w:t>的组成部分，与本合同具有同等效力。</w:t>
      </w:r>
    </w:p>
    <w:p w14:paraId="009F4187">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第十</w:t>
      </w:r>
      <w:r>
        <w:rPr>
          <w:rFonts w:hint="eastAsia" w:ascii="宋体" w:hAnsi="宋体" w:eastAsia="宋体" w:cs="宋体"/>
          <w:b/>
          <w:color w:val="auto"/>
          <w:sz w:val="21"/>
          <w:szCs w:val="21"/>
          <w:lang w:eastAsia="zh-CN"/>
        </w:rPr>
        <w:t>二</w:t>
      </w:r>
      <w:r>
        <w:rPr>
          <w:rFonts w:hint="eastAsia" w:ascii="宋体" w:hAnsi="宋体" w:eastAsia="宋体" w:cs="宋体"/>
          <w:b/>
          <w:color w:val="auto"/>
          <w:sz w:val="21"/>
          <w:szCs w:val="21"/>
        </w:rPr>
        <w:t xml:space="preserve">条 </w:t>
      </w:r>
      <w:r>
        <w:rPr>
          <w:rFonts w:hint="eastAsia" w:ascii="宋体" w:hAnsi="宋体" w:eastAsia="宋体" w:cs="宋体"/>
          <w:color w:val="auto"/>
          <w:sz w:val="21"/>
          <w:szCs w:val="21"/>
        </w:rPr>
        <w:t>本合同自双方签字盖章后，自行生效。双方履行完合同规定的义务后，本合同即行废止。</w:t>
      </w:r>
    </w:p>
    <w:p w14:paraId="3EFBB4B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本合同一式</w:t>
      </w:r>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肆</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份，双方各执</w:t>
      </w:r>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份，每份合同具有同等法律效力。</w:t>
      </w:r>
    </w:p>
    <w:tbl>
      <w:tblPr>
        <w:tblStyle w:val="15"/>
        <w:tblW w:w="4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96"/>
        <w:gridCol w:w="3999"/>
      </w:tblGrid>
      <w:tr w14:paraId="55AF9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499" w:type="pct"/>
            <w:shd w:val="clear" w:color="auto" w:fill="D8D8D8"/>
            <w:noWrap w:val="0"/>
            <w:vAlign w:val="center"/>
          </w:tcPr>
          <w:p w14:paraId="7D6FF15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b/>
                <w:color w:val="auto"/>
                <w:sz w:val="21"/>
                <w:szCs w:val="21"/>
              </w:rPr>
            </w:pPr>
            <w:r>
              <w:rPr>
                <w:rFonts w:hint="eastAsia" w:ascii="宋体" w:hAnsi="宋体" w:eastAsia="宋体" w:cs="宋体"/>
                <w:b/>
                <w:color w:val="auto"/>
                <w:sz w:val="21"/>
                <w:szCs w:val="21"/>
              </w:rPr>
              <w:t>甲方</w:t>
            </w:r>
          </w:p>
        </w:tc>
        <w:tc>
          <w:tcPr>
            <w:tcW w:w="2500" w:type="pct"/>
            <w:shd w:val="clear" w:color="auto" w:fill="D8D8D8"/>
            <w:noWrap w:val="0"/>
            <w:vAlign w:val="center"/>
          </w:tcPr>
          <w:p w14:paraId="66338F2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宋体" w:hAnsi="宋体" w:eastAsia="宋体" w:cs="宋体"/>
                <w:b/>
                <w:color w:val="auto"/>
                <w:sz w:val="21"/>
                <w:szCs w:val="21"/>
              </w:rPr>
            </w:pPr>
            <w:r>
              <w:rPr>
                <w:rFonts w:hint="eastAsia" w:ascii="宋体" w:hAnsi="宋体" w:eastAsia="宋体" w:cs="宋体"/>
                <w:b/>
                <w:color w:val="auto"/>
                <w:sz w:val="21"/>
                <w:szCs w:val="21"/>
              </w:rPr>
              <w:t>乙方</w:t>
            </w:r>
          </w:p>
        </w:tc>
      </w:tr>
      <w:tr w14:paraId="6FD8F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2499" w:type="pct"/>
            <w:noWrap w:val="0"/>
            <w:vAlign w:val="center"/>
          </w:tcPr>
          <w:p w14:paraId="05E5241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采购人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（公章）</w:t>
            </w:r>
          </w:p>
        </w:tc>
        <w:tc>
          <w:tcPr>
            <w:tcW w:w="2500" w:type="pct"/>
            <w:noWrap w:val="0"/>
            <w:vAlign w:val="center"/>
          </w:tcPr>
          <w:p w14:paraId="285A041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（公章）</w:t>
            </w:r>
          </w:p>
        </w:tc>
      </w:tr>
      <w:tr w14:paraId="2B909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499" w:type="pct"/>
            <w:noWrap w:val="0"/>
            <w:vAlign w:val="center"/>
          </w:tcPr>
          <w:p w14:paraId="645FC7F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地址：</w:t>
            </w:r>
          </w:p>
        </w:tc>
        <w:tc>
          <w:tcPr>
            <w:tcW w:w="2500" w:type="pct"/>
            <w:noWrap w:val="0"/>
            <w:vAlign w:val="center"/>
          </w:tcPr>
          <w:p w14:paraId="6DC9F26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地址：</w:t>
            </w:r>
          </w:p>
        </w:tc>
      </w:tr>
      <w:tr w14:paraId="756B2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499" w:type="pct"/>
            <w:noWrap w:val="0"/>
            <w:vAlign w:val="center"/>
          </w:tcPr>
          <w:p w14:paraId="585BBBA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邮编：</w:t>
            </w:r>
          </w:p>
        </w:tc>
        <w:tc>
          <w:tcPr>
            <w:tcW w:w="2500" w:type="pct"/>
            <w:noWrap w:val="0"/>
            <w:vAlign w:val="center"/>
          </w:tcPr>
          <w:p w14:paraId="1F2499E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邮编：</w:t>
            </w:r>
          </w:p>
        </w:tc>
      </w:tr>
      <w:tr w14:paraId="33071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499" w:type="pct"/>
            <w:noWrap w:val="0"/>
            <w:vAlign w:val="center"/>
          </w:tcPr>
          <w:p w14:paraId="53A8F56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 w:val="21"/>
                <w:szCs w:val="21"/>
                <w:u w:val="none"/>
              </w:rPr>
            </w:pPr>
            <w:r>
              <w:rPr>
                <w:rFonts w:hint="eastAsia" w:ascii="宋体" w:hAnsi="宋体" w:eastAsia="宋体" w:cs="宋体"/>
                <w:color w:val="auto"/>
                <w:sz w:val="21"/>
                <w:szCs w:val="21"/>
                <w:u w:val="none"/>
              </w:rPr>
              <w:t>法定代表人：</w:t>
            </w:r>
          </w:p>
        </w:tc>
        <w:tc>
          <w:tcPr>
            <w:tcW w:w="2500" w:type="pct"/>
            <w:noWrap w:val="0"/>
            <w:vAlign w:val="center"/>
          </w:tcPr>
          <w:p w14:paraId="2D86EC0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 w:val="21"/>
                <w:szCs w:val="21"/>
                <w:u w:val="none"/>
              </w:rPr>
            </w:pPr>
            <w:r>
              <w:rPr>
                <w:rFonts w:hint="eastAsia" w:ascii="宋体" w:hAnsi="宋体" w:eastAsia="宋体" w:cs="宋体"/>
                <w:color w:val="auto"/>
                <w:sz w:val="21"/>
                <w:szCs w:val="21"/>
                <w:u w:val="none"/>
              </w:rPr>
              <w:t>法定代表人</w:t>
            </w:r>
            <w:r>
              <w:rPr>
                <w:rFonts w:hint="eastAsia" w:ascii="宋体" w:hAnsi="宋体" w:eastAsia="宋体" w:cs="宋体"/>
                <w:color w:val="auto"/>
                <w:sz w:val="21"/>
                <w:szCs w:val="21"/>
                <w:u w:val="none"/>
                <w:lang w:val="en-US" w:eastAsia="zh-CN"/>
              </w:rPr>
              <w:t>或代理人</w:t>
            </w:r>
            <w:r>
              <w:rPr>
                <w:rFonts w:hint="eastAsia" w:ascii="宋体" w:hAnsi="宋体" w:eastAsia="宋体" w:cs="宋体"/>
                <w:color w:val="auto"/>
                <w:sz w:val="21"/>
                <w:szCs w:val="21"/>
                <w:u w:val="none"/>
              </w:rPr>
              <w:t>：</w:t>
            </w:r>
          </w:p>
        </w:tc>
      </w:tr>
      <w:tr w14:paraId="18DE2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499" w:type="pct"/>
            <w:shd w:val="clear" w:color="auto" w:fill="auto"/>
            <w:noWrap w:val="0"/>
            <w:vAlign w:val="center"/>
          </w:tcPr>
          <w:p w14:paraId="3103A11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eastAsia="zh-CN"/>
              </w:rPr>
              <w:t>经办人：</w:t>
            </w:r>
          </w:p>
        </w:tc>
        <w:tc>
          <w:tcPr>
            <w:tcW w:w="2500" w:type="pct"/>
            <w:noWrap w:val="0"/>
            <w:vAlign w:val="center"/>
          </w:tcPr>
          <w:p w14:paraId="24A83D5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负责人：（签字）</w:t>
            </w:r>
          </w:p>
        </w:tc>
      </w:tr>
      <w:tr w14:paraId="30D74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499" w:type="pct"/>
            <w:shd w:val="clear" w:color="auto" w:fill="auto"/>
            <w:noWrap w:val="0"/>
            <w:vAlign w:val="center"/>
          </w:tcPr>
          <w:p w14:paraId="5C08443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日期：   年  月  日</w:t>
            </w:r>
          </w:p>
        </w:tc>
        <w:tc>
          <w:tcPr>
            <w:tcW w:w="2500" w:type="pct"/>
            <w:noWrap w:val="0"/>
            <w:vAlign w:val="center"/>
          </w:tcPr>
          <w:p w14:paraId="33FE6C7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电话：</w:t>
            </w:r>
          </w:p>
        </w:tc>
      </w:tr>
      <w:tr w14:paraId="7D921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499" w:type="pct"/>
            <w:noWrap w:val="0"/>
            <w:vAlign w:val="center"/>
          </w:tcPr>
          <w:p w14:paraId="040CFDD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 w:val="21"/>
                <w:szCs w:val="21"/>
                <w:lang w:eastAsia="zh-CN"/>
              </w:rPr>
            </w:pPr>
          </w:p>
        </w:tc>
        <w:tc>
          <w:tcPr>
            <w:tcW w:w="2500" w:type="pct"/>
            <w:noWrap w:val="0"/>
            <w:vAlign w:val="center"/>
          </w:tcPr>
          <w:p w14:paraId="2FC5D81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开户银行：</w:t>
            </w:r>
          </w:p>
        </w:tc>
      </w:tr>
      <w:tr w14:paraId="1E91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499" w:type="pct"/>
            <w:noWrap w:val="0"/>
            <w:vAlign w:val="center"/>
          </w:tcPr>
          <w:p w14:paraId="24DD9A8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 w:val="21"/>
                <w:szCs w:val="21"/>
                <w:lang w:eastAsia="zh-CN"/>
              </w:rPr>
            </w:pPr>
          </w:p>
        </w:tc>
        <w:tc>
          <w:tcPr>
            <w:tcW w:w="2500" w:type="pct"/>
            <w:noWrap w:val="0"/>
            <w:vAlign w:val="center"/>
          </w:tcPr>
          <w:p w14:paraId="4B864CE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账号：</w:t>
            </w:r>
          </w:p>
        </w:tc>
      </w:tr>
      <w:tr w14:paraId="25905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2499" w:type="pct"/>
            <w:noWrap w:val="0"/>
            <w:vAlign w:val="center"/>
          </w:tcPr>
          <w:p w14:paraId="75E8EE9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 w:val="21"/>
                <w:szCs w:val="21"/>
              </w:rPr>
            </w:pPr>
          </w:p>
        </w:tc>
        <w:tc>
          <w:tcPr>
            <w:tcW w:w="2500" w:type="pct"/>
            <w:noWrap w:val="0"/>
            <w:vAlign w:val="center"/>
          </w:tcPr>
          <w:p w14:paraId="52EB9EE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日期：   年  月  日</w:t>
            </w:r>
          </w:p>
        </w:tc>
      </w:tr>
    </w:tbl>
    <w:p w14:paraId="0C552AA0">
      <w:pPr>
        <w:rPr>
          <w:rFonts w:hint="eastAsia"/>
          <w:lang w:val="en-US" w:eastAsia="zh-Hans"/>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001010101"/>
    <w:charset w:val="86"/>
    <w:family w:val="auto"/>
    <w:pitch w:val="default"/>
    <w:sig w:usb0="00000000" w:usb1="0000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6"/>
      <w:spacing w:line="14" w:lineRule="auto"/>
      <w:rPr>
        <w:sz w:val="2"/>
      </w:rPr>
    </w:pPr>
  </w:p>
  <w:p w14:paraId="19A9A15C">
    <w:pPr>
      <w:pStyle w:val="6"/>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0"/>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0"/>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2"/>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0A0B9A"/>
    <w:rsid w:val="008E0C60"/>
    <w:rsid w:val="0690304D"/>
    <w:rsid w:val="0A262787"/>
    <w:rsid w:val="177F50ED"/>
    <w:rsid w:val="1BC41C3A"/>
    <w:rsid w:val="1C2674F3"/>
    <w:rsid w:val="21807129"/>
    <w:rsid w:val="232E0476"/>
    <w:rsid w:val="241B1A0D"/>
    <w:rsid w:val="2A67017C"/>
    <w:rsid w:val="2AF22D3B"/>
    <w:rsid w:val="2EE568FA"/>
    <w:rsid w:val="31C37EBA"/>
    <w:rsid w:val="32586E94"/>
    <w:rsid w:val="32AA5D1B"/>
    <w:rsid w:val="33460DA3"/>
    <w:rsid w:val="33ED2155"/>
    <w:rsid w:val="3A80103E"/>
    <w:rsid w:val="41511AAA"/>
    <w:rsid w:val="430D5439"/>
    <w:rsid w:val="4637618C"/>
    <w:rsid w:val="4A9E2E1A"/>
    <w:rsid w:val="4E2E0CE9"/>
    <w:rsid w:val="4F2C7F79"/>
    <w:rsid w:val="53B52B8D"/>
    <w:rsid w:val="5693030F"/>
    <w:rsid w:val="59F842F5"/>
    <w:rsid w:val="5F140445"/>
    <w:rsid w:val="60C3302B"/>
    <w:rsid w:val="63EB4D1E"/>
    <w:rsid w:val="67D15A1C"/>
    <w:rsid w:val="686133F0"/>
    <w:rsid w:val="6C720607"/>
    <w:rsid w:val="701A16DE"/>
    <w:rsid w:val="74CE3248"/>
    <w:rsid w:val="75747DD6"/>
    <w:rsid w:val="77F79321"/>
    <w:rsid w:val="787312BA"/>
    <w:rsid w:val="7ADB4958"/>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numPr>
        <w:ilvl w:val="0"/>
        <w:numId w:val="1"/>
      </w:numPr>
      <w:jc w:val="center"/>
      <w:outlineLvl w:val="0"/>
    </w:pPr>
    <w:rPr>
      <w:rFonts w:ascii="黑体" w:eastAsia="黑体"/>
      <w:sz w:val="30"/>
      <w:szCs w:val="20"/>
    </w:rPr>
  </w:style>
  <w:style w:type="paragraph" w:styleId="3">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Body Text"/>
    <w:basedOn w:val="1"/>
    <w:unhideWhenUsed/>
    <w:qFormat/>
    <w:uiPriority w:val="0"/>
    <w:pPr>
      <w:spacing w:after="120"/>
    </w:pPr>
    <w:rPr>
      <w:rFonts w:ascii="Calibri" w:hAnsi="Calibri"/>
      <w:szCs w:val="22"/>
    </w:rPr>
  </w:style>
  <w:style w:type="paragraph" w:styleId="7">
    <w:name w:val="Body Text Indent"/>
    <w:basedOn w:val="1"/>
    <w:next w:val="1"/>
    <w:qFormat/>
    <w:uiPriority w:val="99"/>
    <w:pPr>
      <w:spacing w:line="360" w:lineRule="auto"/>
      <w:ind w:firstLine="480"/>
    </w:pPr>
    <w:rPr>
      <w:rFonts w:ascii="宋体"/>
      <w:sz w:val="24"/>
    </w:rPr>
  </w:style>
  <w:style w:type="paragraph" w:styleId="8">
    <w:name w:val="Block Text"/>
    <w:basedOn w:val="1"/>
    <w:qFormat/>
    <w:uiPriority w:val="0"/>
    <w:pPr>
      <w:ind w:left="1440" w:leftChars="700" w:right="700" w:rightChars="700"/>
    </w:pPr>
  </w:style>
  <w:style w:type="paragraph" w:styleId="9">
    <w:name w:val="Plain Text"/>
    <w:basedOn w:val="1"/>
    <w:qFormat/>
    <w:uiPriority w:val="0"/>
    <w:rPr>
      <w:rFonts w:ascii="宋体" w:hAnsi="Courier New" w:cs="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39"/>
    <w:pPr>
      <w:tabs>
        <w:tab w:val="right" w:leader="dot" w:pos="9060"/>
      </w:tabs>
      <w:spacing w:line="600" w:lineRule="auto"/>
    </w:pPr>
  </w:style>
  <w:style w:type="paragraph" w:styleId="13">
    <w:name w:val="Body Text First Indent"/>
    <w:basedOn w:val="6"/>
    <w:next w:val="1"/>
    <w:qFormat/>
    <w:uiPriority w:val="0"/>
    <w:pPr>
      <w:ind w:firstLine="420" w:firstLineChars="100"/>
    </w:pPr>
  </w:style>
  <w:style w:type="paragraph" w:styleId="14">
    <w:name w:val="Body Text First Indent 2"/>
    <w:basedOn w:val="7"/>
    <w:next w:val="4"/>
    <w:qFormat/>
    <w:uiPriority w:val="99"/>
    <w:pPr>
      <w:spacing w:after="120"/>
      <w:ind w:left="420" w:leftChars="200" w:firstLine="420" w:firstLineChars="200"/>
    </w:pPr>
    <w:rPr>
      <w:sz w:val="21"/>
      <w:szCs w:val="20"/>
      <w:lang w:val="en-US" w:eastAsia="zh-CN"/>
    </w:rPr>
  </w:style>
  <w:style w:type="table" w:styleId="16">
    <w:name w:val="Table Grid"/>
    <w:basedOn w:val="1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Default"/>
    <w:next w:val="1"/>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0">
    <w:name w:val="Char1"/>
    <w:basedOn w:val="1"/>
    <w:qFormat/>
    <w:uiPriority w:val="0"/>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2687</Words>
  <Characters>2751</Characters>
  <Lines>0</Lines>
  <Paragraphs>0</Paragraphs>
  <TotalTime>0</TotalTime>
  <ScaleCrop>false</ScaleCrop>
  <LinksUpToDate>false</LinksUpToDate>
  <CharactersWithSpaces>2975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2026-03-06T08:12:57Z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eyJoZGlkIjoiODcwMWUwNmZjOTRkYjUzNjRhOGQ3MDdhZGVjNjUxYjYiLCJ1c2VySWQiOiIyMTkxMDU4MjgifQ==</vt:lpwstr>
  </property>
  <property fmtid="{D5CDD505-2E9C-101B-9397-08002B2CF9AE}" pid="4" name="ICV">
    <vt:lpwstr>5784B0D4850C4060967842BF53B67A1B_12</vt:lpwstr>
  </property>
</Properties>
</file>