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EBDB7">
      <w:pPr>
        <w:rPr>
          <w:rFonts w:hint="eastAsia" w:ascii="黑体" w:eastAsia="黑体"/>
          <w:b/>
          <w:color w:val="auto"/>
          <w:sz w:val="32"/>
          <w:szCs w:val="32"/>
          <w:highlight w:val="none"/>
        </w:rPr>
      </w:pPr>
    </w:p>
    <w:tbl>
      <w:tblPr>
        <w:tblStyle w:val="4"/>
        <w:tblpPr w:leftFromText="180" w:rightFromText="180" w:vertAnchor="text" w:horzAnchor="page" w:tblpX="7976"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5"/>
      </w:tblGrid>
      <w:tr w14:paraId="1AB99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2475" w:type="dxa"/>
            <w:noWrap w:val="0"/>
            <w:vAlign w:val="top"/>
          </w:tcPr>
          <w:p w14:paraId="5E0440D6">
            <w:pPr>
              <w:jc w:val="center"/>
              <w:rPr>
                <w:rFonts w:hint="eastAsia" w:ascii="黑体" w:eastAsia="黑体"/>
                <w:b/>
                <w:color w:val="auto"/>
                <w:sz w:val="30"/>
                <w:szCs w:val="30"/>
                <w:highlight w:val="none"/>
              </w:rPr>
            </w:pPr>
            <w:r>
              <w:rPr>
                <w:rFonts w:hint="eastAsia" w:ascii="黑体" w:eastAsia="黑体"/>
                <w:b/>
                <w:color w:val="auto"/>
                <w:sz w:val="30"/>
                <w:szCs w:val="30"/>
                <w:highlight w:val="none"/>
              </w:rPr>
              <w:t>竞争性磋商采购</w:t>
            </w:r>
          </w:p>
        </w:tc>
      </w:tr>
    </w:tbl>
    <w:p w14:paraId="0D669A21">
      <w:pPr>
        <w:rPr>
          <w:rFonts w:hint="eastAsia" w:ascii="黑体" w:eastAsia="黑体"/>
          <w:b/>
          <w:color w:val="auto"/>
          <w:sz w:val="32"/>
          <w:szCs w:val="32"/>
          <w:highlight w:val="none"/>
        </w:rPr>
      </w:pPr>
    </w:p>
    <w:p w14:paraId="369EFDAD">
      <w:pPr>
        <w:rPr>
          <w:rFonts w:hint="eastAsia" w:ascii="黑体" w:eastAsia="黑体"/>
          <w:b/>
          <w:color w:val="auto"/>
          <w:sz w:val="32"/>
          <w:szCs w:val="32"/>
          <w:highlight w:val="none"/>
        </w:rPr>
      </w:pPr>
      <w:r>
        <w:rPr>
          <w:rFonts w:hint="eastAsia" w:ascii="黑体" w:eastAsia="黑体"/>
          <w:b/>
          <w:color w:val="auto"/>
          <w:sz w:val="32"/>
          <w:szCs w:val="32"/>
          <w:highlight w:val="none"/>
        </w:rPr>
        <w:t>采购项目</w:t>
      </w:r>
      <w:r>
        <w:rPr>
          <w:rFonts w:hint="eastAsia" w:cs="宋体"/>
          <w:b/>
          <w:bCs/>
          <w:color w:val="auto"/>
          <w:sz w:val="28"/>
          <w:szCs w:val="28"/>
          <w:highlight w:val="none"/>
        </w:rPr>
        <w:t>（</w:t>
      </w:r>
      <w:r>
        <w:rPr>
          <w:rFonts w:hint="eastAsia" w:ascii="黑体" w:eastAsia="黑体"/>
          <w:b/>
          <w:color w:val="auto"/>
          <w:sz w:val="32"/>
          <w:szCs w:val="32"/>
          <w:highlight w:val="none"/>
        </w:rPr>
        <w:t xml:space="preserve">仅供参考）                  </w:t>
      </w:r>
    </w:p>
    <w:p w14:paraId="06699775">
      <w:pPr>
        <w:jc w:val="center"/>
        <w:rPr>
          <w:rFonts w:hint="eastAsia" w:ascii="黑体" w:eastAsia="黑体"/>
          <w:color w:val="auto"/>
          <w:sz w:val="52"/>
          <w:szCs w:val="52"/>
          <w:highlight w:val="none"/>
        </w:rPr>
      </w:pPr>
    </w:p>
    <w:p w14:paraId="4CFEEA12">
      <w:pPr>
        <w:pStyle w:val="3"/>
        <w:rPr>
          <w:rFonts w:hint="eastAsia"/>
          <w:color w:val="auto"/>
          <w:highlight w:val="none"/>
        </w:rPr>
      </w:pPr>
    </w:p>
    <w:p w14:paraId="28E5C29B">
      <w:pPr>
        <w:jc w:val="center"/>
        <w:rPr>
          <w:rFonts w:hint="eastAsia" w:ascii="黑体" w:eastAsia="黑体"/>
          <w:color w:val="auto"/>
          <w:sz w:val="52"/>
          <w:szCs w:val="52"/>
          <w:highlight w:val="none"/>
        </w:rPr>
      </w:pPr>
    </w:p>
    <w:p w14:paraId="7679B3FD">
      <w:pPr>
        <w:jc w:val="center"/>
        <w:rPr>
          <w:rFonts w:hint="eastAsia"/>
          <w:b/>
          <w:snapToGrid w:val="0"/>
          <w:color w:val="auto"/>
          <w:sz w:val="48"/>
          <w:szCs w:val="48"/>
          <w:highlight w:val="none"/>
          <w:u w:val="single"/>
        </w:rPr>
      </w:pPr>
    </w:p>
    <w:p w14:paraId="31E6DA4F">
      <w:pPr>
        <w:jc w:val="center"/>
        <w:rPr>
          <w:rFonts w:hint="eastAsia"/>
          <w:b/>
          <w:snapToGrid w:val="0"/>
          <w:color w:val="auto"/>
          <w:sz w:val="48"/>
          <w:szCs w:val="48"/>
          <w:highlight w:val="none"/>
          <w:u w:val="single"/>
        </w:rPr>
      </w:pPr>
    </w:p>
    <w:p w14:paraId="193584BF">
      <w:pPr>
        <w:jc w:val="center"/>
        <w:rPr>
          <w:rFonts w:hint="eastAsia"/>
          <w:b/>
          <w:snapToGrid w:val="0"/>
          <w:color w:val="auto"/>
          <w:sz w:val="48"/>
          <w:szCs w:val="48"/>
          <w:highlight w:val="none"/>
          <w:u w:val="single"/>
        </w:rPr>
      </w:pPr>
      <w:r>
        <w:rPr>
          <w:rFonts w:hint="eastAsia"/>
          <w:b/>
          <w:snapToGrid w:val="0"/>
          <w:color w:val="auto"/>
          <w:sz w:val="48"/>
          <w:szCs w:val="48"/>
          <w:highlight w:val="none"/>
          <w:u w:val="single"/>
          <w:lang w:eastAsia="zh-CN"/>
        </w:rPr>
        <w:t>（</w:t>
      </w:r>
      <w:r>
        <w:rPr>
          <w:rFonts w:hint="eastAsia"/>
          <w:b/>
          <w:snapToGrid w:val="0"/>
          <w:color w:val="auto"/>
          <w:sz w:val="48"/>
          <w:szCs w:val="48"/>
          <w:highlight w:val="none"/>
          <w:u w:val="single"/>
        </w:rPr>
        <w:t>项目名称</w:t>
      </w:r>
      <w:r>
        <w:rPr>
          <w:rFonts w:hint="eastAsia"/>
          <w:b/>
          <w:snapToGrid w:val="0"/>
          <w:color w:val="auto"/>
          <w:sz w:val="48"/>
          <w:szCs w:val="48"/>
          <w:highlight w:val="none"/>
          <w:u w:val="single"/>
          <w:lang w:eastAsia="zh-CN"/>
        </w:rPr>
        <w:t>）</w:t>
      </w:r>
    </w:p>
    <w:p w14:paraId="7EF32E60">
      <w:pPr>
        <w:jc w:val="center"/>
        <w:outlineLvl w:val="1"/>
        <w:rPr>
          <w:rFonts w:hint="eastAsia" w:ascii="黑体" w:eastAsia="黑体"/>
          <w:b/>
          <w:color w:val="auto"/>
          <w:sz w:val="72"/>
          <w:szCs w:val="72"/>
          <w:highlight w:val="none"/>
        </w:rPr>
      </w:pPr>
      <w:bookmarkStart w:id="0" w:name="_Toc9646"/>
      <w:bookmarkStart w:id="1" w:name="_Toc22946"/>
      <w:bookmarkStart w:id="2" w:name="_Toc1469"/>
      <w:bookmarkStart w:id="3" w:name="_Toc1475"/>
      <w:bookmarkStart w:id="4" w:name="_Toc5552"/>
      <w:r>
        <w:rPr>
          <w:rFonts w:hint="eastAsia" w:ascii="黑体" w:eastAsia="黑体"/>
          <w:b/>
          <w:color w:val="auto"/>
          <w:sz w:val="72"/>
          <w:szCs w:val="72"/>
          <w:highlight w:val="none"/>
        </w:rPr>
        <w:t>服务合同</w:t>
      </w:r>
      <w:bookmarkEnd w:id="0"/>
      <w:bookmarkEnd w:id="1"/>
      <w:bookmarkEnd w:id="2"/>
      <w:bookmarkEnd w:id="3"/>
      <w:bookmarkEnd w:id="4"/>
    </w:p>
    <w:p w14:paraId="07A4624A">
      <w:pPr>
        <w:jc w:val="center"/>
        <w:rPr>
          <w:rFonts w:hint="eastAsia" w:ascii="黑体" w:eastAsia="黑体"/>
          <w:color w:val="auto"/>
          <w:sz w:val="30"/>
          <w:szCs w:val="30"/>
          <w:highlight w:val="none"/>
        </w:rPr>
      </w:pPr>
      <w:r>
        <w:rPr>
          <w:rFonts w:hint="eastAsia" w:ascii="黑体" w:eastAsia="黑体"/>
          <w:color w:val="auto"/>
          <w:sz w:val="30"/>
          <w:szCs w:val="30"/>
          <w:highlight w:val="none"/>
        </w:rPr>
        <w:t xml:space="preserve">（项目编号：      </w:t>
      </w:r>
      <w:r>
        <w:rPr>
          <w:rFonts w:hint="eastAsia" w:ascii="仿宋" w:eastAsia="仿宋"/>
          <w:color w:val="auto"/>
          <w:sz w:val="28"/>
          <w:szCs w:val="28"/>
          <w:highlight w:val="none"/>
        </w:rPr>
        <w:t>）</w:t>
      </w:r>
    </w:p>
    <w:p w14:paraId="40005AF7">
      <w:pPr>
        <w:jc w:val="center"/>
        <w:rPr>
          <w:rFonts w:hint="eastAsia" w:ascii="黑体" w:eastAsia="黑体"/>
          <w:color w:val="auto"/>
          <w:sz w:val="30"/>
          <w:szCs w:val="30"/>
          <w:highlight w:val="none"/>
        </w:rPr>
      </w:pPr>
    </w:p>
    <w:p w14:paraId="35EE5414">
      <w:pPr>
        <w:jc w:val="center"/>
        <w:rPr>
          <w:rFonts w:hint="eastAsia" w:ascii="黑体" w:eastAsia="黑体"/>
          <w:color w:val="auto"/>
          <w:sz w:val="30"/>
          <w:szCs w:val="30"/>
          <w:highlight w:val="none"/>
        </w:rPr>
      </w:pPr>
    </w:p>
    <w:p w14:paraId="710277F3">
      <w:pPr>
        <w:jc w:val="center"/>
        <w:rPr>
          <w:rFonts w:hint="eastAsia" w:ascii="黑体" w:eastAsia="黑体"/>
          <w:color w:val="auto"/>
          <w:sz w:val="30"/>
          <w:szCs w:val="30"/>
          <w:highlight w:val="none"/>
        </w:rPr>
      </w:pPr>
    </w:p>
    <w:p w14:paraId="163B074D">
      <w:pPr>
        <w:jc w:val="center"/>
        <w:rPr>
          <w:rFonts w:hint="eastAsia" w:ascii="黑体" w:eastAsia="黑体"/>
          <w:color w:val="auto"/>
          <w:sz w:val="30"/>
          <w:szCs w:val="30"/>
          <w:highlight w:val="none"/>
        </w:rPr>
      </w:pPr>
    </w:p>
    <w:p w14:paraId="70CFFF58">
      <w:pPr>
        <w:jc w:val="center"/>
        <w:rPr>
          <w:rFonts w:hint="eastAsia" w:ascii="黑体" w:eastAsia="黑体"/>
          <w:color w:val="auto"/>
          <w:sz w:val="30"/>
          <w:szCs w:val="30"/>
          <w:highlight w:val="none"/>
        </w:rPr>
      </w:pPr>
    </w:p>
    <w:p w14:paraId="04159D9C">
      <w:pPr>
        <w:ind w:firstLine="2080" w:firstLineChars="650"/>
        <w:rPr>
          <w:rFonts w:hint="eastAsia" w:ascii="黑体" w:eastAsia="黑体"/>
          <w:color w:val="auto"/>
          <w:sz w:val="32"/>
          <w:szCs w:val="32"/>
          <w:highlight w:val="none"/>
        </w:rPr>
      </w:pPr>
      <w:r>
        <w:rPr>
          <w:rFonts w:hint="eastAsia" w:ascii="黑体" w:eastAsia="黑体"/>
          <w:color w:val="auto"/>
          <w:sz w:val="32"/>
          <w:szCs w:val="32"/>
          <w:highlight w:val="none"/>
        </w:rPr>
        <w:t xml:space="preserve">甲  方： </w:t>
      </w:r>
    </w:p>
    <w:p w14:paraId="7D889BEE">
      <w:pPr>
        <w:tabs>
          <w:tab w:val="left" w:pos="480"/>
        </w:tabs>
        <w:ind w:firstLine="640" w:firstLineChars="200"/>
        <w:rPr>
          <w:rFonts w:hint="eastAsia" w:ascii="黑体" w:eastAsia="黑体"/>
          <w:color w:val="auto"/>
          <w:sz w:val="32"/>
          <w:szCs w:val="32"/>
          <w:highlight w:val="none"/>
        </w:rPr>
      </w:pPr>
      <w:r>
        <w:rPr>
          <w:rFonts w:hint="eastAsia" w:ascii="黑体" w:eastAsia="黑体"/>
          <w:color w:val="auto"/>
          <w:sz w:val="32"/>
          <w:szCs w:val="32"/>
          <w:highlight w:val="none"/>
        </w:rPr>
        <w:t xml:space="preserve">         乙  方：</w:t>
      </w:r>
    </w:p>
    <w:p w14:paraId="038753ED">
      <w:pPr>
        <w:jc w:val="center"/>
        <w:rPr>
          <w:rFonts w:hint="eastAsia" w:ascii="黑体" w:eastAsia="黑体"/>
          <w:color w:val="auto"/>
          <w:sz w:val="30"/>
          <w:szCs w:val="30"/>
          <w:highlight w:val="none"/>
        </w:rPr>
      </w:pPr>
    </w:p>
    <w:p w14:paraId="734CF540">
      <w:pPr>
        <w:jc w:val="center"/>
        <w:rPr>
          <w:rFonts w:hint="eastAsia" w:ascii="黑体" w:eastAsia="黑体"/>
          <w:color w:val="auto"/>
          <w:sz w:val="32"/>
          <w:szCs w:val="32"/>
          <w:highlight w:val="none"/>
        </w:rPr>
      </w:pPr>
      <w:r>
        <w:rPr>
          <w:rFonts w:hint="eastAsia" w:ascii="黑体" w:eastAsia="黑体"/>
          <w:color w:val="auto"/>
          <w:sz w:val="32"/>
          <w:szCs w:val="32"/>
          <w:highlight w:val="none"/>
        </w:rPr>
        <w:t xml:space="preserve">  年  月   日</w:t>
      </w:r>
    </w:p>
    <w:p w14:paraId="2CF10061">
      <w:pPr>
        <w:jc w:val="center"/>
        <w:outlineLvl w:val="0"/>
        <w:rPr>
          <w:rFonts w:hint="eastAsia" w:ascii="黑体" w:eastAsia="黑体"/>
          <w:b/>
          <w:color w:val="auto"/>
          <w:sz w:val="36"/>
          <w:szCs w:val="36"/>
          <w:highlight w:val="none"/>
        </w:rPr>
      </w:pPr>
      <w:r>
        <w:rPr>
          <w:rFonts w:hint="eastAsia" w:ascii="黑体" w:eastAsia="黑体"/>
          <w:b/>
          <w:color w:val="auto"/>
          <w:sz w:val="36"/>
          <w:szCs w:val="36"/>
          <w:highlight w:val="none"/>
        </w:rPr>
        <w:br w:type="page"/>
      </w:r>
      <w:bookmarkStart w:id="5" w:name="_Toc15417"/>
      <w:bookmarkStart w:id="6" w:name="_Toc26850"/>
      <w:bookmarkStart w:id="7" w:name="_Toc13995"/>
      <w:r>
        <w:rPr>
          <w:rFonts w:hint="eastAsia" w:ascii="黑体" w:eastAsia="黑体"/>
          <w:b/>
          <w:color w:val="auto"/>
          <w:sz w:val="36"/>
          <w:szCs w:val="36"/>
          <w:highlight w:val="none"/>
        </w:rPr>
        <w:t>服 务 合 同</w:t>
      </w:r>
      <w:bookmarkEnd w:id="5"/>
      <w:bookmarkEnd w:id="6"/>
      <w:bookmarkEnd w:id="7"/>
    </w:p>
    <w:p w14:paraId="616BAA90">
      <w:pPr>
        <w:spacing w:line="360" w:lineRule="auto"/>
        <w:rPr>
          <w:rFonts w:hint="eastAsia" w:eastAsia="宋体" w:cs="宋体"/>
          <w:color w:val="auto"/>
          <w:szCs w:val="21"/>
          <w:highlight w:val="none"/>
          <w:u w:val="single"/>
          <w:lang w:val="en-US" w:eastAsia="zh-CN"/>
        </w:rPr>
      </w:pPr>
      <w:r>
        <w:rPr>
          <w:rFonts w:hint="eastAsia" w:cs="宋体"/>
          <w:color w:val="auto"/>
          <w:szCs w:val="21"/>
          <w:highlight w:val="none"/>
        </w:rPr>
        <w:t>甲方：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39BEC210">
      <w:pPr>
        <w:spacing w:line="360" w:lineRule="auto"/>
        <w:rPr>
          <w:rFonts w:hint="eastAsia" w:eastAsia="宋体" w:cs="宋体"/>
          <w:color w:val="auto"/>
          <w:szCs w:val="21"/>
          <w:highlight w:val="none"/>
          <w:lang w:val="en-US" w:eastAsia="zh-CN"/>
        </w:rPr>
      </w:pPr>
      <w:r>
        <w:rPr>
          <w:rFonts w:hint="eastAsia" w:cs="宋体"/>
          <w:color w:val="auto"/>
          <w:szCs w:val="21"/>
          <w:highlight w:val="none"/>
        </w:rPr>
        <w:t>乙方：</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r>
        <w:rPr>
          <w:rFonts w:hint="eastAsia" w:cs="宋体"/>
          <w:color w:val="auto"/>
          <w:szCs w:val="21"/>
          <w:highlight w:val="none"/>
          <w:u w:val="single"/>
        </w:rPr>
        <w:t xml:space="preserve">  </w:t>
      </w:r>
      <w:r>
        <w:rPr>
          <w:rFonts w:hint="eastAsia" w:cs="宋体"/>
          <w:color w:val="auto"/>
          <w:szCs w:val="21"/>
          <w:highlight w:val="none"/>
          <w:u w:val="single"/>
          <w:lang w:val="en-US" w:eastAsia="zh-CN"/>
        </w:rPr>
        <w:t xml:space="preserve"> </w:t>
      </w:r>
    </w:p>
    <w:p w14:paraId="12C6BB84">
      <w:pPr>
        <w:spacing w:line="360" w:lineRule="auto"/>
        <w:ind w:firstLine="480" w:firstLineChars="200"/>
        <w:rPr>
          <w:rFonts w:hint="eastAsia" w:cs="宋体"/>
          <w:color w:val="auto"/>
          <w:szCs w:val="21"/>
          <w:highlight w:val="none"/>
        </w:rPr>
      </w:pPr>
      <w:r>
        <w:rPr>
          <w:rFonts w:hint="eastAsia" w:cs="宋体"/>
          <w:color w:val="auto"/>
          <w:szCs w:val="21"/>
          <w:highlight w:val="none"/>
        </w:rPr>
        <w:t>根据《中华人民共和国民法典》与项目行业有关的法律法规，以及本项目相关采购要求的规定，合同双方就乙方向</w:t>
      </w:r>
      <w:r>
        <w:rPr>
          <w:rFonts w:hint="eastAsia" w:cs="宋体"/>
          <w:color w:val="auto"/>
          <w:szCs w:val="21"/>
          <w:highlight w:val="none"/>
          <w:lang w:eastAsia="zh-CN"/>
        </w:rPr>
        <w:t>甲方</w:t>
      </w:r>
      <w:r>
        <w:rPr>
          <w:rFonts w:hint="eastAsia" w:cs="宋体"/>
          <w:color w:val="auto"/>
          <w:szCs w:val="21"/>
          <w:highlight w:val="none"/>
        </w:rPr>
        <w:t>提供</w:t>
      </w:r>
      <w:r>
        <w:rPr>
          <w:rFonts w:hint="eastAsia" w:cs="宋体"/>
          <w:color w:val="auto"/>
          <w:szCs w:val="21"/>
          <w:highlight w:val="none"/>
          <w:u w:val="single"/>
          <w:lang w:val="en-US" w:eastAsia="zh-CN"/>
        </w:rPr>
        <w:t xml:space="preserve">       </w:t>
      </w:r>
      <w:r>
        <w:rPr>
          <w:rFonts w:hint="eastAsia" w:cs="宋体"/>
          <w:color w:val="auto"/>
          <w:szCs w:val="21"/>
          <w:highlight w:val="none"/>
          <w:lang w:val="en-US" w:eastAsia="zh-CN"/>
        </w:rPr>
        <w:t>服务项目</w:t>
      </w:r>
      <w:r>
        <w:rPr>
          <w:rFonts w:hint="eastAsia" w:cs="宋体"/>
          <w:color w:val="auto"/>
          <w:szCs w:val="21"/>
          <w:highlight w:val="none"/>
        </w:rPr>
        <w:t>事宜，经协商达成一致，确立本合同。</w:t>
      </w:r>
    </w:p>
    <w:p w14:paraId="38B347E1">
      <w:pPr>
        <w:numPr>
          <w:ilvl w:val="0"/>
          <w:numId w:val="1"/>
        </w:numPr>
        <w:tabs>
          <w:tab w:val="left" w:pos="480"/>
        </w:tabs>
        <w:spacing w:line="360" w:lineRule="auto"/>
        <w:outlineLvl w:val="1"/>
        <w:rPr>
          <w:rFonts w:hint="eastAsia"/>
        </w:rPr>
      </w:pPr>
      <w:bookmarkStart w:id="8" w:name="_Toc4893"/>
      <w:bookmarkStart w:id="9" w:name="_Toc6138"/>
      <w:bookmarkStart w:id="10" w:name="_Toc22731"/>
      <w:bookmarkStart w:id="11" w:name="_Toc15128"/>
      <w:bookmarkStart w:id="12" w:name="_Toc15783"/>
      <w:r>
        <w:rPr>
          <w:rFonts w:hint="eastAsia" w:cs="宋体"/>
          <w:b/>
          <w:color w:val="auto"/>
          <w:szCs w:val="21"/>
          <w:highlight w:val="none"/>
        </w:rPr>
        <w:t>合同标的物内容、数量及单价</w:t>
      </w:r>
      <w:bookmarkEnd w:id="8"/>
      <w:bookmarkEnd w:id="9"/>
      <w:bookmarkEnd w:id="10"/>
      <w:bookmarkEnd w:id="11"/>
      <w:bookmarkEnd w:id="12"/>
    </w:p>
    <w:tbl>
      <w:tblPr>
        <w:tblStyle w:val="5"/>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01"/>
        <w:gridCol w:w="1842"/>
        <w:gridCol w:w="2211"/>
        <w:gridCol w:w="1719"/>
        <w:gridCol w:w="1649"/>
      </w:tblGrid>
      <w:tr w14:paraId="4373B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344C8DD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序号</w:t>
            </w:r>
          </w:p>
        </w:tc>
        <w:tc>
          <w:tcPr>
            <w:tcW w:w="1842" w:type="dxa"/>
            <w:noWrap w:val="0"/>
            <w:vAlign w:val="top"/>
          </w:tcPr>
          <w:p w14:paraId="29310F0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服务内容</w:t>
            </w:r>
          </w:p>
        </w:tc>
        <w:tc>
          <w:tcPr>
            <w:tcW w:w="2211" w:type="dxa"/>
            <w:noWrap w:val="0"/>
            <w:vAlign w:val="top"/>
          </w:tcPr>
          <w:p w14:paraId="0FA2EE1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服务期限</w:t>
            </w:r>
          </w:p>
        </w:tc>
        <w:tc>
          <w:tcPr>
            <w:tcW w:w="1719" w:type="dxa"/>
            <w:noWrap w:val="0"/>
            <w:vAlign w:val="top"/>
          </w:tcPr>
          <w:p w14:paraId="4C9008D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仿宋" w:hAnsi="仿宋" w:eastAsia="仿宋" w:cs="Times New Roman"/>
                <w:sz w:val="24"/>
                <w:szCs w:val="24"/>
              </w:rPr>
            </w:pPr>
            <w:r>
              <w:rPr>
                <w:rFonts w:hint="eastAsia" w:ascii="仿宋" w:hAnsi="仿宋" w:eastAsia="仿宋" w:cs="Times New Roman"/>
                <w:sz w:val="24"/>
                <w:szCs w:val="24"/>
              </w:rPr>
              <w:t>相关要求</w:t>
            </w:r>
          </w:p>
        </w:tc>
        <w:tc>
          <w:tcPr>
            <w:tcW w:w="1649" w:type="dxa"/>
            <w:noWrap w:val="0"/>
            <w:vAlign w:val="top"/>
          </w:tcPr>
          <w:p w14:paraId="6059AC5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Times New Roman"/>
                <w:sz w:val="24"/>
                <w:szCs w:val="24"/>
              </w:rPr>
            </w:pPr>
            <w:r>
              <w:rPr>
                <w:rFonts w:hint="eastAsia" w:ascii="仿宋" w:hAnsi="仿宋" w:eastAsia="仿宋" w:cs="Times New Roman"/>
                <w:sz w:val="24"/>
                <w:szCs w:val="24"/>
              </w:rPr>
              <w:t>备注</w:t>
            </w:r>
          </w:p>
        </w:tc>
      </w:tr>
      <w:tr w14:paraId="06726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01" w:type="dxa"/>
            <w:noWrap w:val="0"/>
            <w:vAlign w:val="top"/>
          </w:tcPr>
          <w:p w14:paraId="70C499B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6F2BF42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090863AC">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262FD79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7BEF328A">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r w14:paraId="0EE60F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1101" w:type="dxa"/>
            <w:noWrap w:val="0"/>
            <w:vAlign w:val="top"/>
          </w:tcPr>
          <w:p w14:paraId="6655123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842" w:type="dxa"/>
            <w:noWrap w:val="0"/>
            <w:vAlign w:val="top"/>
          </w:tcPr>
          <w:p w14:paraId="15A9DA10">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2211" w:type="dxa"/>
            <w:noWrap w:val="0"/>
            <w:vAlign w:val="top"/>
          </w:tcPr>
          <w:p w14:paraId="224863F6">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719" w:type="dxa"/>
            <w:noWrap w:val="0"/>
            <w:vAlign w:val="top"/>
          </w:tcPr>
          <w:p w14:paraId="691CCE1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c>
          <w:tcPr>
            <w:tcW w:w="1649" w:type="dxa"/>
            <w:noWrap w:val="0"/>
            <w:vAlign w:val="top"/>
          </w:tcPr>
          <w:p w14:paraId="1B2C59B3">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cs="Times New Roman"/>
                <w:sz w:val="24"/>
                <w:szCs w:val="24"/>
              </w:rPr>
            </w:pPr>
          </w:p>
        </w:tc>
      </w:tr>
    </w:tbl>
    <w:p w14:paraId="2B54C920">
      <w:pPr>
        <w:tabs>
          <w:tab w:val="left" w:pos="480"/>
        </w:tabs>
        <w:spacing w:line="360" w:lineRule="auto"/>
        <w:outlineLvl w:val="1"/>
        <w:rPr>
          <w:rFonts w:hint="eastAsia" w:cs="宋体"/>
          <w:b/>
          <w:color w:val="auto"/>
          <w:szCs w:val="21"/>
          <w:highlight w:val="none"/>
        </w:rPr>
      </w:pPr>
      <w:bookmarkStart w:id="13" w:name="_Toc1496"/>
      <w:bookmarkStart w:id="14" w:name="_Toc29609"/>
      <w:bookmarkStart w:id="15" w:name="_Toc23203"/>
      <w:bookmarkStart w:id="16" w:name="_Toc12144"/>
      <w:bookmarkStart w:id="17" w:name="_Toc2520"/>
      <w:r>
        <w:rPr>
          <w:rFonts w:hint="eastAsia" w:cs="宋体"/>
          <w:b/>
          <w:color w:val="auto"/>
          <w:szCs w:val="21"/>
          <w:highlight w:val="none"/>
        </w:rPr>
        <w:t>二、合同价款</w:t>
      </w:r>
      <w:bookmarkEnd w:id="13"/>
      <w:bookmarkEnd w:id="14"/>
      <w:bookmarkEnd w:id="15"/>
      <w:bookmarkEnd w:id="16"/>
      <w:bookmarkEnd w:id="17"/>
    </w:p>
    <w:p w14:paraId="5B9AAD0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（一）合同总价款为人民币（大写）</w:t>
      </w:r>
      <w:r>
        <w:rPr>
          <w:rFonts w:hint="eastAsia" w:cs="宋体"/>
          <w:color w:val="auto"/>
          <w:szCs w:val="21"/>
          <w:highlight w:val="none"/>
          <w:u w:val="single"/>
        </w:rPr>
        <w:t xml:space="preserve">       </w:t>
      </w:r>
      <w:r>
        <w:rPr>
          <w:rFonts w:hint="eastAsia" w:cs="宋体"/>
          <w:color w:val="auto"/>
          <w:szCs w:val="21"/>
          <w:highlight w:val="none"/>
        </w:rPr>
        <w:t>元整（¥</w:t>
      </w:r>
      <w:r>
        <w:rPr>
          <w:rFonts w:hint="eastAsia" w:cs="宋体"/>
          <w:color w:val="auto"/>
          <w:szCs w:val="21"/>
          <w:highlight w:val="none"/>
          <w:u w:val="single"/>
        </w:rPr>
        <w:t xml:space="preserve">     </w:t>
      </w:r>
      <w:r>
        <w:rPr>
          <w:rFonts w:hint="eastAsia" w:cs="宋体"/>
          <w:color w:val="auto"/>
          <w:szCs w:val="21"/>
          <w:highlight w:val="none"/>
        </w:rPr>
        <w:t>元）。</w:t>
      </w:r>
    </w:p>
    <w:p w14:paraId="2BA6644C">
      <w:pPr>
        <w:tabs>
          <w:tab w:val="left" w:pos="480"/>
        </w:tabs>
        <w:spacing w:line="360" w:lineRule="auto"/>
        <w:ind w:firstLine="480" w:firstLineChars="200"/>
        <w:rPr>
          <w:rFonts w:hint="eastAsia" w:eastAsia="宋体" w:cs="宋体"/>
          <w:color w:val="auto"/>
          <w:szCs w:val="21"/>
          <w:highlight w:val="none"/>
          <w:lang w:eastAsia="zh-CN"/>
        </w:rPr>
      </w:pPr>
      <w:r>
        <w:rPr>
          <w:rFonts w:hint="eastAsia" w:cs="宋体"/>
          <w:color w:val="auto"/>
          <w:szCs w:val="21"/>
          <w:highlight w:val="none"/>
        </w:rPr>
        <w:t>（二）合同总价：</w:t>
      </w:r>
      <w:r>
        <w:rPr>
          <w:rFonts w:hint="eastAsia"/>
          <w:color w:val="auto"/>
          <w:szCs w:val="24"/>
          <w:highlight w:val="none"/>
        </w:rPr>
        <w:t>完成本</w:t>
      </w:r>
      <w:r>
        <w:rPr>
          <w:rFonts w:hint="eastAsia"/>
          <w:color w:val="auto"/>
          <w:szCs w:val="24"/>
          <w:highlight w:val="none"/>
          <w:lang w:eastAsia="zh-CN"/>
        </w:rPr>
        <w:t>活动项目</w:t>
      </w:r>
      <w:r>
        <w:rPr>
          <w:rFonts w:hint="eastAsia"/>
          <w:color w:val="auto"/>
          <w:szCs w:val="24"/>
          <w:highlight w:val="none"/>
        </w:rPr>
        <w:t>所要求的全部服务的所有费用</w:t>
      </w:r>
      <w:r>
        <w:rPr>
          <w:rFonts w:hint="eastAsia"/>
          <w:color w:val="auto"/>
          <w:szCs w:val="24"/>
          <w:highlight w:val="none"/>
          <w:lang w:eastAsia="zh-CN"/>
        </w:rPr>
        <w:t>。</w:t>
      </w:r>
    </w:p>
    <w:p w14:paraId="3A4B865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（三）合同总价一次性包死，不受市场价格变化因素的影响。</w:t>
      </w:r>
    </w:p>
    <w:p w14:paraId="72BA28BD">
      <w:pPr>
        <w:tabs>
          <w:tab w:val="left" w:pos="480"/>
        </w:tabs>
        <w:spacing w:line="360" w:lineRule="auto"/>
        <w:outlineLvl w:val="1"/>
        <w:rPr>
          <w:rFonts w:hint="eastAsia" w:cs="宋体"/>
          <w:b/>
          <w:color w:val="auto"/>
          <w:szCs w:val="21"/>
          <w:highlight w:val="none"/>
        </w:rPr>
      </w:pPr>
      <w:bookmarkStart w:id="18" w:name="_Toc796"/>
      <w:bookmarkStart w:id="19" w:name="_Toc22280"/>
      <w:bookmarkStart w:id="20" w:name="_Toc11349"/>
      <w:bookmarkStart w:id="21" w:name="_Toc8221"/>
      <w:bookmarkStart w:id="22" w:name="_Toc17511"/>
      <w:r>
        <w:rPr>
          <w:rFonts w:hint="eastAsia" w:cs="宋体"/>
          <w:b/>
          <w:color w:val="auto"/>
          <w:szCs w:val="21"/>
          <w:highlight w:val="none"/>
        </w:rPr>
        <w:t>三、款项结算</w:t>
      </w:r>
      <w:bookmarkEnd w:id="18"/>
      <w:bookmarkEnd w:id="19"/>
      <w:bookmarkEnd w:id="20"/>
      <w:bookmarkEnd w:id="21"/>
      <w:bookmarkEnd w:id="22"/>
    </w:p>
    <w:p w14:paraId="7DECA524">
      <w:pPr>
        <w:spacing w:line="360" w:lineRule="auto"/>
        <w:ind w:firstLine="480" w:firstLineChars="200"/>
        <w:rPr>
          <w:rFonts w:hint="eastAsia" w:cs="宋体"/>
          <w:color w:val="auto"/>
          <w:szCs w:val="21"/>
          <w:highlight w:val="none"/>
        </w:rPr>
      </w:pPr>
      <w:r>
        <w:rPr>
          <w:rFonts w:hint="eastAsia" w:cs="宋体"/>
          <w:color w:val="auto"/>
          <w:szCs w:val="21"/>
          <w:highlight w:val="none"/>
        </w:rPr>
        <w:t>（一）</w:t>
      </w:r>
      <w:r>
        <w:rPr>
          <w:rFonts w:hint="eastAsia" w:cs="宋体"/>
          <w:bCs/>
          <w:color w:val="auto"/>
          <w:szCs w:val="21"/>
          <w:highlight w:val="none"/>
        </w:rPr>
        <w:t>合同签订后，由采购人负责结算。</w:t>
      </w:r>
    </w:p>
    <w:p w14:paraId="7EA82301">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（二）支付方式：银行转账。</w:t>
      </w:r>
      <w:r>
        <w:rPr>
          <w:rFonts w:hint="eastAsia" w:cs="宋体"/>
          <w:color w:val="auto"/>
          <w:szCs w:val="24"/>
          <w:highlight w:val="none"/>
        </w:rPr>
        <w:t>在付款前，供应商必须开具全额发票给采购人</w:t>
      </w:r>
      <w:r>
        <w:rPr>
          <w:rFonts w:hint="eastAsia" w:cs="宋体"/>
          <w:color w:val="auto"/>
          <w:szCs w:val="21"/>
          <w:highlight w:val="none"/>
        </w:rPr>
        <w:t>。</w:t>
      </w:r>
    </w:p>
    <w:p w14:paraId="3D384532">
      <w:pPr>
        <w:tabs>
          <w:tab w:val="left" w:pos="480"/>
        </w:tabs>
        <w:spacing w:line="360" w:lineRule="auto"/>
        <w:ind w:firstLine="480" w:firstLineChars="200"/>
        <w:rPr>
          <w:rFonts w:hint="eastAsia" w:ascii="宋体" w:eastAsia="宋体" w:cs="宋体"/>
          <w:color w:val="auto"/>
          <w:szCs w:val="21"/>
          <w:highlight w:val="none"/>
          <w:lang w:val="de-DE" w:eastAsia="zh-CN"/>
        </w:rPr>
      </w:pPr>
      <w:r>
        <w:rPr>
          <w:rFonts w:hint="eastAsia" w:cs="宋体"/>
          <w:color w:val="auto"/>
          <w:szCs w:val="21"/>
          <w:highlight w:val="none"/>
        </w:rPr>
        <w:t>（三）付款方式</w:t>
      </w:r>
      <w:r>
        <w:rPr>
          <w:rFonts w:hint="eastAsia" w:cs="宋体"/>
          <w:color w:val="auto"/>
          <w:szCs w:val="21"/>
          <w:highlight w:val="none"/>
          <w:u w:val="none"/>
        </w:rPr>
        <w:t>：</w:t>
      </w:r>
      <w:bookmarkStart w:id="23" w:name="OLE_LINK4"/>
      <w:r>
        <w:rPr>
          <w:rFonts w:hint="eastAsia" w:cs="宋体"/>
          <w:color w:val="auto"/>
          <w:szCs w:val="21"/>
          <w:highlight w:val="none"/>
          <w:u w:val="single"/>
        </w:rPr>
        <w:t>本项目采用</w:t>
      </w:r>
      <w:r>
        <w:rPr>
          <w:rFonts w:hint="eastAsia" w:cs="宋体"/>
          <w:color w:val="auto"/>
          <w:szCs w:val="21"/>
          <w:highlight w:val="none"/>
          <w:u w:val="single"/>
          <w:lang w:val="en-US" w:eastAsia="zh-CN"/>
        </w:rPr>
        <w:t>分</w:t>
      </w:r>
      <w:r>
        <w:rPr>
          <w:rFonts w:hint="eastAsia" w:cs="宋体"/>
          <w:color w:val="auto"/>
          <w:szCs w:val="21"/>
          <w:highlight w:val="none"/>
          <w:u w:val="single"/>
        </w:rPr>
        <w:t>次性付款方式，</w:t>
      </w:r>
      <w:r>
        <w:rPr>
          <w:rFonts w:hint="eastAsia" w:cs="宋体"/>
          <w:color w:val="auto"/>
          <w:szCs w:val="21"/>
          <w:highlight w:val="none"/>
          <w:u w:val="single"/>
          <w:lang w:val="en-US" w:eastAsia="zh-CN"/>
        </w:rPr>
        <w:t>中标确认合同签订后15</w:t>
      </w:r>
      <w:r>
        <w:rPr>
          <w:rFonts w:hint="eastAsia" w:cs="宋体"/>
          <w:color w:val="auto"/>
          <w:szCs w:val="21"/>
          <w:highlight w:val="none"/>
          <w:u w:val="single"/>
        </w:rPr>
        <w:t>个工作日内，凭等额发票支付</w:t>
      </w:r>
      <w:r>
        <w:rPr>
          <w:rFonts w:hint="eastAsia" w:cs="宋体"/>
          <w:color w:val="auto"/>
          <w:szCs w:val="21"/>
          <w:highlight w:val="none"/>
          <w:u w:val="single"/>
          <w:lang w:val="en-US" w:eastAsia="zh-CN"/>
        </w:rPr>
        <w:t>支付</w:t>
      </w:r>
      <w:r>
        <w:rPr>
          <w:rFonts w:hint="eastAsia" w:cs="宋体"/>
          <w:color w:val="auto"/>
          <w:szCs w:val="21"/>
          <w:highlight w:val="none"/>
          <w:u w:val="single"/>
        </w:rPr>
        <w:t>预付款（</w:t>
      </w:r>
      <w:r>
        <w:rPr>
          <w:rFonts w:hint="eastAsia" w:cs="宋体"/>
          <w:color w:val="auto"/>
          <w:szCs w:val="21"/>
          <w:highlight w:val="none"/>
          <w:u w:val="single"/>
          <w:lang w:val="en-US" w:eastAsia="zh-CN"/>
        </w:rPr>
        <w:t>4</w:t>
      </w:r>
      <w:r>
        <w:rPr>
          <w:rFonts w:hint="eastAsia" w:cs="宋体"/>
          <w:color w:val="auto"/>
          <w:szCs w:val="21"/>
          <w:highlight w:val="none"/>
          <w:u w:val="single"/>
        </w:rPr>
        <w:t>0%）</w:t>
      </w:r>
      <w:r>
        <w:rPr>
          <w:rFonts w:hint="eastAsia" w:cs="宋体"/>
          <w:color w:val="auto"/>
          <w:szCs w:val="21"/>
          <w:highlight w:val="none"/>
          <w:u w:val="single"/>
          <w:lang w:val="en-US" w:eastAsia="zh-CN"/>
        </w:rPr>
        <w:t>，</w:t>
      </w:r>
      <w:r>
        <w:rPr>
          <w:rFonts w:hint="eastAsia" w:cs="宋体"/>
          <w:color w:val="auto"/>
          <w:szCs w:val="21"/>
          <w:highlight w:val="none"/>
          <w:u w:val="single"/>
        </w:rPr>
        <w:t>待成交供应商完成《指南》所有语种版本全部编制工作，交付所有成果并经采购人验收合格后，采购人在</w:t>
      </w:r>
      <w:r>
        <w:rPr>
          <w:rFonts w:hint="eastAsia" w:cs="宋体"/>
          <w:color w:val="auto"/>
          <w:szCs w:val="21"/>
          <w:highlight w:val="none"/>
          <w:u w:val="single"/>
          <w:lang w:val="en-US" w:eastAsia="zh-CN"/>
        </w:rPr>
        <w:t>15</w:t>
      </w:r>
      <w:r>
        <w:rPr>
          <w:rFonts w:hint="eastAsia" w:cs="宋体"/>
          <w:color w:val="auto"/>
          <w:szCs w:val="21"/>
          <w:highlight w:val="none"/>
          <w:u w:val="single"/>
        </w:rPr>
        <w:t>个工作日内，凭成交供应商开具的合法有效全额增值税发票</w:t>
      </w:r>
      <w:r>
        <w:rPr>
          <w:rFonts w:hint="eastAsia" w:cs="宋体"/>
          <w:color w:val="auto"/>
          <w:szCs w:val="21"/>
          <w:highlight w:val="none"/>
          <w:u w:val="single"/>
          <w:lang w:val="en-US" w:eastAsia="zh-CN"/>
        </w:rPr>
        <w:t>支付剩余（60%）</w:t>
      </w:r>
      <w:r>
        <w:rPr>
          <w:rFonts w:hint="eastAsia" w:cs="宋体"/>
          <w:color w:val="auto"/>
          <w:szCs w:val="21"/>
          <w:highlight w:val="none"/>
          <w:u w:val="single"/>
        </w:rPr>
        <w:t>。</w:t>
      </w:r>
    </w:p>
    <w:bookmarkEnd w:id="23"/>
    <w:p w14:paraId="455FCCE3">
      <w:pPr>
        <w:tabs>
          <w:tab w:val="left" w:pos="480"/>
        </w:tabs>
        <w:spacing w:line="360" w:lineRule="auto"/>
        <w:outlineLvl w:val="1"/>
        <w:rPr>
          <w:rFonts w:hint="eastAsia" w:cs="宋体"/>
          <w:b/>
          <w:color w:val="auto"/>
          <w:szCs w:val="21"/>
          <w:highlight w:val="none"/>
        </w:rPr>
      </w:pPr>
      <w:bookmarkStart w:id="24" w:name="_Toc17530"/>
      <w:bookmarkStart w:id="25" w:name="_Toc31371"/>
      <w:bookmarkStart w:id="26" w:name="_Toc28704"/>
      <w:bookmarkStart w:id="27" w:name="_Toc30881"/>
      <w:bookmarkStart w:id="28" w:name="_Toc17757"/>
      <w:r>
        <w:rPr>
          <w:rFonts w:hint="eastAsia" w:cs="宋体"/>
          <w:b/>
          <w:color w:val="auto"/>
          <w:szCs w:val="21"/>
          <w:highlight w:val="none"/>
        </w:rPr>
        <w:t>四、双方的权利和义务</w:t>
      </w:r>
      <w:bookmarkEnd w:id="24"/>
      <w:bookmarkEnd w:id="25"/>
      <w:bookmarkEnd w:id="26"/>
      <w:bookmarkEnd w:id="27"/>
      <w:bookmarkEnd w:id="28"/>
    </w:p>
    <w:p w14:paraId="118A1FB3">
      <w:pPr>
        <w:spacing w:line="360" w:lineRule="auto"/>
        <w:ind w:firstLine="240" w:firstLineChars="100"/>
        <w:rPr>
          <w:rFonts w:hint="eastAsia" w:cs="宋体"/>
          <w:color w:val="auto"/>
          <w:szCs w:val="21"/>
          <w:highlight w:val="none"/>
        </w:rPr>
      </w:pPr>
      <w:r>
        <w:rPr>
          <w:rFonts w:hint="eastAsia" w:cs="宋体"/>
          <w:color w:val="auto"/>
          <w:szCs w:val="21"/>
          <w:highlight w:val="none"/>
        </w:rPr>
        <w:t>（一）甲方的权利和义务</w:t>
      </w:r>
    </w:p>
    <w:p w14:paraId="3ED67D32">
      <w:pPr>
        <w:spacing w:line="360" w:lineRule="auto"/>
        <w:ind w:firstLine="480" w:firstLineChars="200"/>
        <w:rPr>
          <w:rFonts w:hint="eastAsia" w:cs="宋体"/>
          <w:color w:val="auto"/>
          <w:szCs w:val="21"/>
          <w:highlight w:val="none"/>
        </w:rPr>
      </w:pPr>
      <w:r>
        <w:rPr>
          <w:rFonts w:hint="eastAsia" w:cs="宋体"/>
          <w:color w:val="auto"/>
          <w:szCs w:val="21"/>
          <w:highlight w:val="none"/>
        </w:rPr>
        <w:t>甲方权利：严格按照竞争性磋商文件及竞争性磋商响应文件要求和标准对本次服务项目的实施进行监督。</w:t>
      </w:r>
    </w:p>
    <w:p w14:paraId="6704F51F">
      <w:pPr>
        <w:spacing w:line="360" w:lineRule="auto"/>
        <w:ind w:firstLine="480" w:firstLineChars="200"/>
        <w:rPr>
          <w:rFonts w:hint="eastAsia" w:cs="宋体"/>
          <w:color w:val="auto"/>
          <w:szCs w:val="21"/>
          <w:highlight w:val="none"/>
        </w:rPr>
      </w:pPr>
      <w:r>
        <w:rPr>
          <w:rFonts w:hint="eastAsia" w:cs="宋体"/>
          <w:color w:val="auto"/>
          <w:szCs w:val="21"/>
          <w:highlight w:val="none"/>
        </w:rPr>
        <w:t>甲方义务：积极配合乙方服务过程中的沟通协调工作。</w:t>
      </w:r>
    </w:p>
    <w:p w14:paraId="332C5A6F">
      <w:pPr>
        <w:spacing w:line="360" w:lineRule="auto"/>
        <w:ind w:firstLine="240" w:firstLineChars="100"/>
        <w:rPr>
          <w:rFonts w:hint="eastAsia" w:cs="宋体"/>
          <w:color w:val="auto"/>
          <w:szCs w:val="21"/>
          <w:highlight w:val="none"/>
        </w:rPr>
      </w:pPr>
      <w:r>
        <w:rPr>
          <w:rFonts w:hint="eastAsia" w:cs="宋体"/>
          <w:color w:val="auto"/>
          <w:szCs w:val="21"/>
          <w:highlight w:val="none"/>
        </w:rPr>
        <w:t>（二）乙方的权利和义务</w:t>
      </w:r>
    </w:p>
    <w:p w14:paraId="3BEB7978">
      <w:pPr>
        <w:spacing w:line="360" w:lineRule="auto"/>
        <w:ind w:firstLine="240" w:firstLineChars="100"/>
        <w:rPr>
          <w:rFonts w:hint="eastAsia" w:cs="宋体"/>
          <w:color w:val="auto"/>
          <w:szCs w:val="21"/>
          <w:highlight w:val="none"/>
        </w:rPr>
      </w:pPr>
      <w:r>
        <w:rPr>
          <w:rFonts w:hint="eastAsia" w:cs="宋体"/>
          <w:color w:val="auto"/>
          <w:szCs w:val="21"/>
          <w:highlight w:val="none"/>
        </w:rPr>
        <w:t xml:space="preserve">  乙方权利：按照合同约定要求甲方及时付款。</w:t>
      </w:r>
    </w:p>
    <w:p w14:paraId="2A4E1459">
      <w:pPr>
        <w:spacing w:line="360" w:lineRule="auto"/>
        <w:ind w:firstLine="480" w:firstLineChars="200"/>
        <w:rPr>
          <w:rFonts w:hint="eastAsia" w:cs="宋体"/>
          <w:color w:val="auto"/>
          <w:szCs w:val="21"/>
          <w:highlight w:val="none"/>
        </w:rPr>
      </w:pPr>
      <w:r>
        <w:rPr>
          <w:rFonts w:hint="eastAsia" w:cs="宋体"/>
          <w:color w:val="auto"/>
          <w:szCs w:val="21"/>
          <w:highlight w:val="none"/>
        </w:rPr>
        <w:t>乙方义务：按照合同约定时间，在甲方指定地点提供本项目的服务工作；自检并配合甲方考核验收工作。</w:t>
      </w:r>
    </w:p>
    <w:p w14:paraId="42D7F957">
      <w:pPr>
        <w:tabs>
          <w:tab w:val="left" w:pos="480"/>
        </w:tabs>
        <w:spacing w:line="360" w:lineRule="auto"/>
        <w:outlineLvl w:val="1"/>
        <w:rPr>
          <w:rFonts w:hint="eastAsia" w:cs="宋体"/>
          <w:color w:val="auto"/>
          <w:szCs w:val="21"/>
          <w:highlight w:val="none"/>
        </w:rPr>
      </w:pPr>
      <w:bookmarkStart w:id="29" w:name="_Toc23815"/>
      <w:bookmarkStart w:id="30" w:name="_Toc24893"/>
      <w:bookmarkStart w:id="31" w:name="_Toc32365"/>
      <w:bookmarkStart w:id="32" w:name="_Toc21577"/>
      <w:bookmarkStart w:id="33" w:name="_Toc25885"/>
      <w:r>
        <w:rPr>
          <w:rFonts w:hint="eastAsia" w:cs="宋体"/>
          <w:b/>
          <w:color w:val="auto"/>
          <w:szCs w:val="21"/>
          <w:highlight w:val="none"/>
        </w:rPr>
        <w:t>五、服务条件</w:t>
      </w:r>
      <w:bookmarkEnd w:id="29"/>
      <w:bookmarkEnd w:id="30"/>
      <w:bookmarkEnd w:id="31"/>
      <w:bookmarkEnd w:id="32"/>
      <w:bookmarkEnd w:id="33"/>
    </w:p>
    <w:p w14:paraId="28FC400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（一）服务地点：甲方指定地点。</w:t>
      </w:r>
    </w:p>
    <w:p w14:paraId="6C56F771">
      <w:pPr>
        <w:tabs>
          <w:tab w:val="left" w:pos="480"/>
        </w:tabs>
        <w:spacing w:line="360" w:lineRule="auto"/>
        <w:ind w:firstLine="480" w:firstLineChars="200"/>
        <w:rPr>
          <w:rFonts w:hint="default" w:eastAsia="宋体" w:cs="宋体"/>
          <w:color w:val="auto"/>
          <w:szCs w:val="21"/>
          <w:highlight w:val="none"/>
          <w:lang w:val="en-US" w:eastAsia="zh-CN"/>
        </w:rPr>
      </w:pPr>
      <w:r>
        <w:rPr>
          <w:rFonts w:hint="eastAsia" w:cs="宋体"/>
          <w:color w:val="auto"/>
          <w:szCs w:val="21"/>
          <w:highlight w:val="none"/>
        </w:rPr>
        <w:t>（二）服务期：</w:t>
      </w:r>
      <w:r>
        <w:rPr>
          <w:rFonts w:hint="eastAsia" w:cs="宋体"/>
          <w:color w:val="auto"/>
          <w:szCs w:val="21"/>
          <w:highlight w:val="none"/>
          <w:lang w:val="en-US" w:eastAsia="zh-CN"/>
        </w:rPr>
        <w:t>自合同签订之日起至项目结束</w:t>
      </w:r>
    </w:p>
    <w:p w14:paraId="6C6BDDEF">
      <w:pPr>
        <w:tabs>
          <w:tab w:val="left" w:pos="480"/>
        </w:tabs>
        <w:spacing w:line="360" w:lineRule="auto"/>
        <w:outlineLvl w:val="1"/>
        <w:rPr>
          <w:rFonts w:hint="eastAsia" w:cs="宋体"/>
          <w:b/>
          <w:color w:val="auto"/>
          <w:szCs w:val="21"/>
          <w:highlight w:val="none"/>
        </w:rPr>
      </w:pPr>
      <w:bookmarkStart w:id="34" w:name="_Toc22113"/>
      <w:bookmarkStart w:id="35" w:name="_Toc32754"/>
      <w:bookmarkStart w:id="36" w:name="_Toc29734"/>
      <w:bookmarkStart w:id="37" w:name="_Toc31282"/>
      <w:bookmarkStart w:id="38" w:name="_Toc2178"/>
      <w:r>
        <w:rPr>
          <w:rFonts w:hint="eastAsia" w:cs="宋体"/>
          <w:b/>
          <w:color w:val="auto"/>
          <w:szCs w:val="21"/>
          <w:highlight w:val="none"/>
        </w:rPr>
        <w:t>六、</w:t>
      </w:r>
      <w:r>
        <w:rPr>
          <w:rFonts w:hint="eastAsia" w:cs="宋体"/>
          <w:b/>
          <w:color w:val="auto"/>
          <w:szCs w:val="24"/>
          <w:highlight w:val="none"/>
        </w:rPr>
        <w:t>服务支持</w:t>
      </w:r>
      <w:bookmarkEnd w:id="34"/>
      <w:bookmarkEnd w:id="35"/>
      <w:bookmarkEnd w:id="36"/>
      <w:bookmarkEnd w:id="37"/>
      <w:bookmarkEnd w:id="38"/>
    </w:p>
    <w:p w14:paraId="655F459C">
      <w:pPr>
        <w:tabs>
          <w:tab w:val="left" w:pos="480"/>
        </w:tabs>
        <w:spacing w:line="360" w:lineRule="auto"/>
        <w:ind w:firstLine="480" w:firstLineChars="200"/>
        <w:rPr>
          <w:rFonts w:hint="eastAsia" w:cs="宋体"/>
          <w:bCs/>
          <w:color w:val="auto"/>
          <w:szCs w:val="21"/>
          <w:highlight w:val="none"/>
        </w:rPr>
      </w:pPr>
      <w:r>
        <w:rPr>
          <w:rFonts w:hint="eastAsia" w:cs="宋体"/>
          <w:bCs/>
          <w:color w:val="auto"/>
          <w:szCs w:val="21"/>
          <w:highlight w:val="none"/>
          <w:lang w:eastAsia="zh-CN"/>
        </w:rPr>
        <w:t>乙方</w:t>
      </w:r>
      <w:r>
        <w:rPr>
          <w:rFonts w:hint="eastAsia" w:cs="宋体"/>
          <w:bCs/>
          <w:color w:val="auto"/>
          <w:szCs w:val="21"/>
          <w:highlight w:val="none"/>
        </w:rPr>
        <w:t>在项目实施过程中，质量保障人员、资源不足或者执行不力，给项目质量带来的风险超出</w:t>
      </w:r>
      <w:r>
        <w:rPr>
          <w:rFonts w:hint="eastAsia" w:cs="宋体"/>
          <w:bCs/>
          <w:color w:val="auto"/>
          <w:szCs w:val="21"/>
          <w:highlight w:val="none"/>
          <w:lang w:eastAsia="zh-CN"/>
        </w:rPr>
        <w:t>甲方</w:t>
      </w:r>
      <w:r>
        <w:rPr>
          <w:rFonts w:hint="eastAsia" w:cs="宋体"/>
          <w:bCs/>
          <w:color w:val="auto"/>
          <w:szCs w:val="21"/>
          <w:highlight w:val="none"/>
        </w:rPr>
        <w:t>认定的允许范围时，</w:t>
      </w:r>
      <w:r>
        <w:rPr>
          <w:rFonts w:hint="eastAsia" w:cs="宋体"/>
          <w:bCs/>
          <w:color w:val="auto"/>
          <w:szCs w:val="21"/>
          <w:highlight w:val="none"/>
          <w:lang w:eastAsia="zh-CN"/>
        </w:rPr>
        <w:t>甲方</w:t>
      </w:r>
      <w:r>
        <w:rPr>
          <w:rFonts w:hint="eastAsia" w:cs="宋体"/>
          <w:bCs/>
          <w:color w:val="auto"/>
          <w:szCs w:val="21"/>
          <w:highlight w:val="none"/>
        </w:rPr>
        <w:t>可终止本项目的合作并进行索赔。</w:t>
      </w:r>
    </w:p>
    <w:p w14:paraId="2B2B5DA1">
      <w:pPr>
        <w:tabs>
          <w:tab w:val="left" w:pos="480"/>
        </w:tabs>
        <w:spacing w:line="360" w:lineRule="auto"/>
        <w:outlineLvl w:val="1"/>
        <w:rPr>
          <w:rFonts w:hint="eastAsia" w:cs="宋体"/>
          <w:b/>
          <w:color w:val="auto"/>
          <w:szCs w:val="21"/>
          <w:highlight w:val="none"/>
        </w:rPr>
      </w:pPr>
      <w:bookmarkStart w:id="39" w:name="_Toc17141"/>
      <w:bookmarkStart w:id="40" w:name="_Toc2716"/>
      <w:bookmarkStart w:id="41" w:name="_Toc4554"/>
      <w:bookmarkStart w:id="42" w:name="_Toc26633"/>
      <w:bookmarkStart w:id="43" w:name="_Toc2601"/>
      <w:r>
        <w:rPr>
          <w:rFonts w:hint="eastAsia" w:cs="宋体"/>
          <w:b/>
          <w:color w:val="auto"/>
          <w:szCs w:val="21"/>
          <w:highlight w:val="none"/>
        </w:rPr>
        <w:t>七、质量保证</w:t>
      </w:r>
      <w:bookmarkEnd w:id="39"/>
      <w:bookmarkEnd w:id="40"/>
      <w:bookmarkEnd w:id="41"/>
      <w:bookmarkEnd w:id="42"/>
      <w:bookmarkEnd w:id="43"/>
    </w:p>
    <w:p w14:paraId="71A1B284">
      <w:pPr>
        <w:tabs>
          <w:tab w:val="left" w:pos="480"/>
        </w:tabs>
        <w:spacing w:line="360" w:lineRule="auto"/>
        <w:ind w:firstLine="470" w:firstLineChars="196"/>
        <w:rPr>
          <w:rFonts w:hint="eastAsia" w:cs="宋体"/>
          <w:color w:val="auto"/>
          <w:szCs w:val="24"/>
          <w:highlight w:val="none"/>
        </w:rPr>
      </w:pPr>
      <w:bookmarkStart w:id="44" w:name="_Toc8336"/>
      <w:bookmarkStart w:id="45" w:name="_Toc10532"/>
      <w:r>
        <w:rPr>
          <w:rFonts w:hint="eastAsia" w:cs="宋体"/>
          <w:color w:val="auto"/>
          <w:szCs w:val="24"/>
          <w:highlight w:val="none"/>
        </w:rPr>
        <w:t>乙方所供服务必须执行下列条款：</w:t>
      </w:r>
    </w:p>
    <w:p w14:paraId="2A477BA0">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1、</w:t>
      </w:r>
      <w:r>
        <w:rPr>
          <w:rFonts w:hint="eastAsia" w:cs="宋体"/>
          <w:color w:val="auto"/>
          <w:szCs w:val="24"/>
          <w:highlight w:val="none"/>
        </w:rPr>
        <w:t>保证所组织活动的方案设计、具体实施等，均应按国内外通行的现行标准和相应的技术规范执行，这些标准和技术规范应为合同签订日为止最新公布发行的标准和技术规范。</w:t>
      </w:r>
    </w:p>
    <w:p w14:paraId="3641E08C">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lang w:eastAsia="zh-CN"/>
        </w:rPr>
        <w:t>乙方</w:t>
      </w:r>
      <w:r>
        <w:rPr>
          <w:rFonts w:hint="eastAsia" w:cs="宋体"/>
          <w:color w:val="auto"/>
          <w:szCs w:val="24"/>
          <w:highlight w:val="none"/>
        </w:rPr>
        <w:t>所组织活动因侵权而产生的一切后果由</w:t>
      </w:r>
      <w:r>
        <w:rPr>
          <w:rFonts w:hint="eastAsia" w:cs="宋体"/>
          <w:color w:val="auto"/>
          <w:szCs w:val="24"/>
          <w:highlight w:val="none"/>
          <w:lang w:eastAsia="zh-CN"/>
        </w:rPr>
        <w:t>乙方</w:t>
      </w:r>
      <w:r>
        <w:rPr>
          <w:rFonts w:hint="eastAsia" w:cs="宋体"/>
          <w:color w:val="auto"/>
          <w:szCs w:val="24"/>
          <w:highlight w:val="none"/>
        </w:rPr>
        <w:t>负责，</w:t>
      </w:r>
      <w:r>
        <w:rPr>
          <w:rFonts w:hint="eastAsia" w:cs="宋体"/>
          <w:color w:val="auto"/>
          <w:szCs w:val="24"/>
          <w:highlight w:val="none"/>
          <w:lang w:eastAsia="zh-CN"/>
        </w:rPr>
        <w:t>甲方</w:t>
      </w:r>
      <w:r>
        <w:rPr>
          <w:rFonts w:hint="eastAsia" w:cs="宋体"/>
          <w:color w:val="auto"/>
          <w:szCs w:val="24"/>
          <w:highlight w:val="none"/>
        </w:rPr>
        <w:t>保留索赔权利。</w:t>
      </w:r>
    </w:p>
    <w:p w14:paraId="6DFBFD6A">
      <w:pPr>
        <w:spacing w:line="360" w:lineRule="auto"/>
        <w:ind w:firstLine="240" w:firstLineChars="100"/>
        <w:rPr>
          <w:rFonts w:hint="eastAsia" w:cs="宋体"/>
          <w:b/>
          <w:color w:val="auto"/>
          <w:szCs w:val="21"/>
          <w:highlight w:val="none"/>
        </w:rPr>
      </w:pPr>
      <w:r>
        <w:rPr>
          <w:rFonts w:hint="eastAsia" w:cs="宋体"/>
          <w:color w:val="auto"/>
          <w:szCs w:val="24"/>
          <w:highlight w:val="none"/>
          <w:lang w:val="en-US" w:eastAsia="zh-CN"/>
        </w:rPr>
        <w:t>3、</w:t>
      </w:r>
      <w:r>
        <w:rPr>
          <w:rFonts w:hint="eastAsia" w:cs="宋体"/>
          <w:color w:val="auto"/>
          <w:szCs w:val="24"/>
          <w:highlight w:val="none"/>
          <w:lang w:eastAsia="zh-CN"/>
        </w:rPr>
        <w:t>乙方</w:t>
      </w:r>
      <w:r>
        <w:rPr>
          <w:rFonts w:hint="eastAsia" w:cs="宋体"/>
          <w:color w:val="auto"/>
          <w:szCs w:val="24"/>
          <w:highlight w:val="none"/>
        </w:rPr>
        <w:t>在磋商时承诺的团队负责人、团队工作人员</w:t>
      </w:r>
      <w:r>
        <w:rPr>
          <w:rFonts w:hint="eastAsia" w:cs="宋体"/>
          <w:color w:val="auto"/>
          <w:szCs w:val="24"/>
          <w:highlight w:val="none"/>
          <w:lang w:eastAsia="zh-CN"/>
        </w:rPr>
        <w:t>等</w:t>
      </w:r>
      <w:r>
        <w:rPr>
          <w:rFonts w:hint="eastAsia" w:cs="宋体"/>
          <w:color w:val="auto"/>
          <w:szCs w:val="24"/>
          <w:highlight w:val="none"/>
        </w:rPr>
        <w:t>必须按响应文件的执行方案参与到具体工作中。</w:t>
      </w:r>
      <w:bookmarkEnd w:id="44"/>
      <w:bookmarkEnd w:id="45"/>
    </w:p>
    <w:p w14:paraId="797950BA">
      <w:pPr>
        <w:tabs>
          <w:tab w:val="left" w:pos="480"/>
        </w:tabs>
        <w:spacing w:line="360" w:lineRule="auto"/>
        <w:outlineLvl w:val="1"/>
        <w:rPr>
          <w:rFonts w:hint="eastAsia" w:cs="宋体"/>
          <w:b/>
          <w:color w:val="auto"/>
          <w:szCs w:val="21"/>
          <w:highlight w:val="none"/>
        </w:rPr>
      </w:pPr>
      <w:bookmarkStart w:id="46" w:name="_Toc31058"/>
      <w:bookmarkStart w:id="47" w:name="_Toc2440"/>
      <w:bookmarkStart w:id="48" w:name="_Toc31724"/>
      <w:bookmarkStart w:id="49" w:name="_Toc10347"/>
      <w:bookmarkStart w:id="50" w:name="_Toc21294"/>
      <w:r>
        <w:rPr>
          <w:rFonts w:hint="eastAsia" w:cs="宋体"/>
          <w:b/>
          <w:color w:val="auto"/>
          <w:szCs w:val="21"/>
          <w:highlight w:val="none"/>
        </w:rPr>
        <w:t>八、</w:t>
      </w:r>
      <w:r>
        <w:rPr>
          <w:rFonts w:hint="eastAsia" w:cs="宋体"/>
          <w:b/>
          <w:color w:val="auto"/>
          <w:szCs w:val="24"/>
          <w:highlight w:val="none"/>
        </w:rPr>
        <w:t>考核验收</w:t>
      </w:r>
      <w:bookmarkEnd w:id="46"/>
      <w:bookmarkEnd w:id="47"/>
      <w:bookmarkEnd w:id="48"/>
      <w:bookmarkEnd w:id="49"/>
      <w:bookmarkEnd w:id="50"/>
    </w:p>
    <w:p w14:paraId="64BD7660">
      <w:pPr>
        <w:tabs>
          <w:tab w:val="left" w:pos="480"/>
        </w:tabs>
        <w:spacing w:line="360" w:lineRule="auto"/>
        <w:ind w:firstLine="480" w:firstLineChars="200"/>
        <w:rPr>
          <w:rFonts w:hint="eastAsia" w:cs="宋体"/>
          <w:color w:val="auto"/>
          <w:szCs w:val="24"/>
          <w:highlight w:val="none"/>
        </w:rPr>
      </w:pPr>
      <w:bookmarkStart w:id="51" w:name="_Toc24413"/>
      <w:bookmarkStart w:id="52" w:name="_Toc11557"/>
      <w:bookmarkStart w:id="53" w:name="_Toc21893"/>
      <w:bookmarkStart w:id="54" w:name="_Toc26566"/>
      <w:bookmarkStart w:id="55" w:name="_Toc11043"/>
      <w:r>
        <w:rPr>
          <w:rFonts w:hint="eastAsia" w:cs="宋体"/>
          <w:color w:val="auto"/>
          <w:szCs w:val="24"/>
          <w:highlight w:val="none"/>
        </w:rPr>
        <w:t>1.本项目验收由采购人组织实施，邀请涉外翻译专业人员、文旅消费领域专家参与，采用成果审核+实地核验+语种校对相结合的方式，所有语种版本均需满足以下验收标准，全部条款达标方为验收合格：</w:t>
      </w:r>
    </w:p>
    <w:p w14:paraId="1F75ECB6">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rPr>
        <w:t xml:space="preserve"> （一）内容验收 收录消费资源覆盖本需求明细约定的板块，无境外游客高频消费场景重大遗漏；所有基础信息、涉外服务信息经实地核验真实、准确，无错误或过期内容。境外游客专属优惠等政策信息，均与西安市最新涉外消费政策一致，细则、领取/办理方式等多语种表述清晰、无歧义。 多语种统一目录、索引设置合理，分类清晰，支持快速检索，符合境外游客“消费指引”使用需求；应急指引板块信息实用、可落地，适配境外游客在陕应急需求。</w:t>
      </w:r>
    </w:p>
    <w:p w14:paraId="79DA0366">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rPr>
        <w:t xml:space="preserve"> （二）语种验收 各语种翻译内容准确无误，符合目标语种的官方表达与日常使用习惯，无语法错误、语义偏差、文化误解等问题，经母语专业人员审核通过。多语种版本内容一一对应，无内容缺失、错配等情况，核心信息、专业术语翻译统一规范。 </w:t>
      </w:r>
    </w:p>
    <w:p w14:paraId="760750E5">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rPr>
        <w:t xml:space="preserve">（三）形式验收 符合商务部格式规范要求，纸质样稿按语种制作，排版符合各语种阅读规范，图文搭配协调，印刷清晰，无缺页、漏印、模糊、装订错误等质量问题；排版符合约定制作标准。 电子版本为高清PDF格式及可编辑格式，内容与对应语种纸质样稿完全一致，适配多终端查看，无格式错乱、内容缺失、字体显示异常等问题，支持单语种独立保存与检索。 </w:t>
      </w:r>
    </w:p>
    <w:p w14:paraId="4FB5597F">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rPr>
        <w:t xml:space="preserve">（四）流程验收 供应商已按约定完成编制、多语种翻译校对、修改审核等全部流程，提交的各阶段成果均有采购人确认记录。 已按语种足额交付纸质样稿（5份/语种）及电子版本，成果文件齐全、完整，符合交付要求。 </w:t>
      </w:r>
    </w:p>
    <w:p w14:paraId="4B7A8DDD">
      <w:pPr>
        <w:tabs>
          <w:tab w:val="left" w:pos="480"/>
        </w:tabs>
        <w:spacing w:line="360" w:lineRule="auto"/>
        <w:ind w:firstLine="240" w:firstLineChars="100"/>
        <w:rPr>
          <w:rFonts w:hint="eastAsia" w:cs="宋体"/>
          <w:color w:val="auto"/>
          <w:szCs w:val="24"/>
          <w:highlight w:val="none"/>
        </w:rPr>
      </w:pPr>
      <w:r>
        <w:rPr>
          <w:rFonts w:hint="eastAsia" w:cs="宋体"/>
          <w:color w:val="auto"/>
          <w:szCs w:val="24"/>
          <w:highlight w:val="none"/>
        </w:rPr>
        <w:t>（五）验收不合格处理 若验收过程中发现任一语种版本成果不符合上述标准，采购人有权要求供应商在20个工作日内完成免费整改与优化；整改后仍不合格的，采购人有权解除合同，供应商需退还已收款项，并承担由此给采购人造成的全部损失。</w:t>
      </w:r>
      <w:bookmarkStart w:id="76" w:name="_GoBack"/>
      <w:bookmarkEnd w:id="76"/>
    </w:p>
    <w:p w14:paraId="61C3591E">
      <w:pPr>
        <w:tabs>
          <w:tab w:val="left" w:pos="480"/>
        </w:tabs>
        <w:spacing w:line="360" w:lineRule="auto"/>
        <w:ind w:firstLine="480" w:firstLineChars="200"/>
        <w:rPr>
          <w:rFonts w:hint="eastAsia" w:cs="宋体"/>
          <w:color w:val="auto"/>
          <w:szCs w:val="24"/>
          <w:highlight w:val="none"/>
        </w:rPr>
      </w:pPr>
      <w:r>
        <w:rPr>
          <w:rFonts w:hint="eastAsia" w:cs="宋体"/>
          <w:color w:val="auto"/>
          <w:szCs w:val="24"/>
          <w:highlight w:val="none"/>
          <w:lang w:val="en-US" w:eastAsia="zh-CN"/>
        </w:rPr>
        <w:t>2.</w:t>
      </w:r>
      <w:r>
        <w:rPr>
          <w:rFonts w:hint="eastAsia" w:cs="宋体"/>
          <w:color w:val="auto"/>
          <w:szCs w:val="24"/>
          <w:highlight w:val="none"/>
        </w:rPr>
        <w:t>验收和评价方式</w:t>
      </w:r>
    </w:p>
    <w:p w14:paraId="5DED17C0">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.1  乙方提供的服务最终验收达不到磋商文件要求和磋商响应文件承诺及国家或行业标准，或在使用中发现甲方不能容忍的缺陷等，将视为验收不合格，乙方应在甲方要求的时间内无条件完善或要求赔付采购人损失。</w:t>
      </w:r>
    </w:p>
    <w:p w14:paraId="1CBD07E6">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.2  若发现乙方有弄虚作假的，及在项目实施阶段故意或随意夸大服务，本项目合同解除，乙方赔偿甲方相应的损失。</w:t>
      </w:r>
    </w:p>
    <w:p w14:paraId="32112FF5">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.3  验收标准：按磋商文件、磋商响应文件等服务指标进行逐项验收，各项指标均应符合验收标准及要求。</w:t>
      </w:r>
    </w:p>
    <w:p w14:paraId="43ABCC6F">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.4  验收合格后，填写验收单，双方盖章、签字生效。</w:t>
      </w:r>
    </w:p>
    <w:p w14:paraId="08D02635">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  验收依据</w:t>
      </w:r>
    </w:p>
    <w:p w14:paraId="5B5A6507">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.5.1  合同文本。</w:t>
      </w:r>
    </w:p>
    <w:p w14:paraId="427D1D97">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.5.2  磋商响应文件、磋商文件、澄清函。</w:t>
      </w:r>
    </w:p>
    <w:p w14:paraId="6E5D7D79">
      <w:pPr>
        <w:tabs>
          <w:tab w:val="left" w:pos="480"/>
        </w:tabs>
        <w:spacing w:line="360" w:lineRule="auto"/>
        <w:ind w:firstLine="480" w:firstLineChars="200"/>
        <w:rPr>
          <w:rFonts w:hint="eastAsia" w:ascii="宋体" w:eastAsia="宋体" w:cs="宋体"/>
          <w:color w:val="auto"/>
          <w:szCs w:val="24"/>
          <w:highlight w:val="none"/>
        </w:rPr>
      </w:pPr>
      <w:r>
        <w:rPr>
          <w:rFonts w:hint="eastAsia" w:cs="宋体"/>
          <w:color w:val="auto"/>
          <w:szCs w:val="24"/>
          <w:highlight w:val="none"/>
          <w:lang w:val="en-US" w:eastAsia="zh-CN"/>
        </w:rPr>
        <w:t>2</w:t>
      </w:r>
      <w:r>
        <w:rPr>
          <w:rFonts w:hint="eastAsia" w:ascii="宋体" w:eastAsia="宋体" w:cs="宋体"/>
          <w:color w:val="auto"/>
          <w:szCs w:val="24"/>
          <w:highlight w:val="none"/>
        </w:rPr>
        <w:t>.5.3  国家和行业制定的相应的标准和规范。</w:t>
      </w:r>
    </w:p>
    <w:p w14:paraId="264852D8">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w:t>
      </w:r>
      <w:r>
        <w:rPr>
          <w:rFonts w:hint="eastAsia" w:cs="宋体"/>
          <w:b/>
          <w:color w:val="auto"/>
          <w:szCs w:val="24"/>
          <w:highlight w:val="none"/>
        </w:rPr>
        <w:t>知识产权、专利权</w:t>
      </w:r>
      <w:bookmarkEnd w:id="51"/>
      <w:bookmarkEnd w:id="52"/>
      <w:bookmarkEnd w:id="53"/>
      <w:bookmarkEnd w:id="54"/>
      <w:bookmarkEnd w:id="55"/>
    </w:p>
    <w:p w14:paraId="2671F929">
      <w:pPr>
        <w:tabs>
          <w:tab w:val="left" w:pos="480"/>
        </w:tabs>
        <w:spacing w:line="360" w:lineRule="auto"/>
        <w:ind w:firstLine="480" w:firstLineChars="200"/>
        <w:rPr>
          <w:rFonts w:hint="eastAsia" w:cs="宋体"/>
          <w:color w:val="auto"/>
          <w:szCs w:val="21"/>
          <w:highlight w:val="none"/>
        </w:rPr>
      </w:pPr>
      <w:r>
        <w:rPr>
          <w:rFonts w:hint="eastAsia" w:cs="宋体"/>
          <w:color w:val="auto"/>
          <w:szCs w:val="24"/>
          <w:highlight w:val="none"/>
          <w:lang w:eastAsia="zh-CN"/>
        </w:rPr>
        <w:t>乙方</w:t>
      </w:r>
      <w:r>
        <w:rPr>
          <w:rFonts w:hint="eastAsia" w:cs="宋体"/>
          <w:color w:val="auto"/>
          <w:szCs w:val="24"/>
          <w:highlight w:val="none"/>
        </w:rPr>
        <w:t>应对所提供的文稿及图像、影像资料，已取得合法知识产权或其使用权，</w:t>
      </w:r>
      <w:r>
        <w:rPr>
          <w:rFonts w:hint="eastAsia" w:cs="宋体"/>
          <w:color w:val="auto"/>
          <w:szCs w:val="24"/>
          <w:highlight w:val="none"/>
          <w:lang w:eastAsia="zh-CN"/>
        </w:rPr>
        <w:t>乙方</w:t>
      </w:r>
      <w:r>
        <w:rPr>
          <w:rFonts w:hint="eastAsia" w:cs="宋体"/>
          <w:color w:val="auto"/>
          <w:szCs w:val="24"/>
          <w:highlight w:val="none"/>
        </w:rPr>
        <w:t>应保证所提供的服务不会出现因第三方提出侵犯其版权、商标权或其它知识产权而引发法律或经济纠纷，否则由</w:t>
      </w:r>
      <w:r>
        <w:rPr>
          <w:rFonts w:hint="eastAsia" w:cs="宋体"/>
          <w:color w:val="auto"/>
          <w:szCs w:val="24"/>
          <w:highlight w:val="none"/>
          <w:lang w:eastAsia="zh-CN"/>
        </w:rPr>
        <w:t>乙方</w:t>
      </w:r>
      <w:r>
        <w:rPr>
          <w:rFonts w:hint="eastAsia" w:cs="宋体"/>
          <w:color w:val="auto"/>
          <w:szCs w:val="24"/>
          <w:highlight w:val="none"/>
        </w:rPr>
        <w:t>负责解决并承担全部责任；如因此影响到</w:t>
      </w:r>
      <w:r>
        <w:rPr>
          <w:rFonts w:hint="eastAsia" w:cs="宋体"/>
          <w:color w:val="auto"/>
          <w:szCs w:val="24"/>
          <w:highlight w:val="none"/>
          <w:lang w:eastAsia="zh-CN"/>
        </w:rPr>
        <w:t>甲方</w:t>
      </w:r>
      <w:r>
        <w:rPr>
          <w:rFonts w:hint="eastAsia" w:cs="宋体"/>
          <w:color w:val="auto"/>
          <w:szCs w:val="24"/>
          <w:highlight w:val="none"/>
        </w:rPr>
        <w:t>的正常使用，</w:t>
      </w:r>
      <w:r>
        <w:rPr>
          <w:rFonts w:hint="eastAsia" w:cs="宋体"/>
          <w:color w:val="auto"/>
          <w:szCs w:val="24"/>
          <w:highlight w:val="none"/>
          <w:lang w:eastAsia="zh-CN"/>
        </w:rPr>
        <w:t>甲方</w:t>
      </w:r>
      <w:r>
        <w:rPr>
          <w:rFonts w:hint="eastAsia" w:cs="宋体"/>
          <w:color w:val="auto"/>
          <w:szCs w:val="24"/>
          <w:highlight w:val="none"/>
        </w:rPr>
        <w:t>有权单方解除本合同，</w:t>
      </w:r>
      <w:r>
        <w:rPr>
          <w:rFonts w:hint="eastAsia" w:cs="宋体"/>
          <w:color w:val="auto"/>
          <w:szCs w:val="24"/>
          <w:highlight w:val="none"/>
          <w:lang w:eastAsia="zh-CN"/>
        </w:rPr>
        <w:t>乙方</w:t>
      </w:r>
      <w:r>
        <w:rPr>
          <w:rFonts w:hint="eastAsia" w:cs="宋体"/>
          <w:color w:val="auto"/>
          <w:szCs w:val="24"/>
          <w:highlight w:val="none"/>
        </w:rPr>
        <w:t>应无条件向</w:t>
      </w:r>
      <w:r>
        <w:rPr>
          <w:rFonts w:hint="eastAsia" w:cs="宋体"/>
          <w:color w:val="auto"/>
          <w:szCs w:val="24"/>
          <w:highlight w:val="none"/>
          <w:lang w:eastAsia="zh-CN"/>
        </w:rPr>
        <w:t>甲方</w:t>
      </w:r>
      <w:r>
        <w:rPr>
          <w:rFonts w:hint="eastAsia" w:cs="宋体"/>
          <w:color w:val="auto"/>
          <w:szCs w:val="24"/>
          <w:highlight w:val="none"/>
        </w:rPr>
        <w:t>退回已收取的全部合同价款。</w:t>
      </w:r>
    </w:p>
    <w:p w14:paraId="355E00D1">
      <w:pPr>
        <w:tabs>
          <w:tab w:val="left" w:pos="480"/>
        </w:tabs>
        <w:spacing w:line="360" w:lineRule="auto"/>
        <w:outlineLvl w:val="1"/>
        <w:rPr>
          <w:rFonts w:hint="eastAsia" w:cs="宋体"/>
          <w:b/>
          <w:color w:val="auto"/>
          <w:szCs w:val="21"/>
          <w:highlight w:val="none"/>
        </w:rPr>
      </w:pPr>
      <w:bookmarkStart w:id="56" w:name="_Toc26859"/>
      <w:bookmarkStart w:id="57" w:name="_Toc7776"/>
      <w:bookmarkStart w:id="58" w:name="_Toc775"/>
      <w:bookmarkStart w:id="59" w:name="_Toc28036"/>
      <w:bookmarkStart w:id="60" w:name="_Toc17134"/>
      <w:r>
        <w:rPr>
          <w:rFonts w:hint="eastAsia" w:cs="宋体"/>
          <w:b/>
          <w:color w:val="auto"/>
          <w:szCs w:val="21"/>
          <w:highlight w:val="none"/>
        </w:rPr>
        <w:t>十一、违约责任</w:t>
      </w:r>
      <w:bookmarkEnd w:id="56"/>
      <w:bookmarkEnd w:id="57"/>
      <w:bookmarkEnd w:id="58"/>
      <w:bookmarkEnd w:id="59"/>
      <w:bookmarkEnd w:id="60"/>
    </w:p>
    <w:p w14:paraId="5AD5A8CC">
      <w:pPr>
        <w:tabs>
          <w:tab w:val="left" w:pos="480"/>
        </w:tabs>
        <w:spacing w:line="360" w:lineRule="auto"/>
        <w:ind w:firstLine="480" w:firstLineChars="200"/>
        <w:rPr>
          <w:rFonts w:hint="eastAsia" w:ascii="宋体" w:eastAsia="宋体" w:cs="宋体"/>
          <w:color w:val="auto"/>
          <w:szCs w:val="24"/>
          <w:highlight w:val="none"/>
        </w:rPr>
      </w:pPr>
      <w:bookmarkStart w:id="61" w:name="_Toc30683"/>
      <w:bookmarkStart w:id="62" w:name="_Toc24574"/>
      <w:bookmarkStart w:id="63" w:name="_Toc32274"/>
      <w:bookmarkStart w:id="64" w:name="_Toc1770"/>
      <w:bookmarkStart w:id="65" w:name="_Toc13572"/>
      <w:r>
        <w:rPr>
          <w:rFonts w:hint="eastAsia" w:ascii="宋体" w:eastAsia="宋体" w:cs="宋体"/>
          <w:color w:val="auto"/>
          <w:szCs w:val="24"/>
          <w:highlight w:val="none"/>
          <w:lang w:val="en-US" w:eastAsia="zh-CN"/>
        </w:rPr>
        <w:t>1.</w:t>
      </w:r>
      <w:r>
        <w:rPr>
          <w:rFonts w:hint="eastAsia" w:ascii="宋体" w:eastAsia="宋体" w:cs="宋体"/>
          <w:color w:val="auto"/>
          <w:szCs w:val="24"/>
          <w:highlight w:val="none"/>
        </w:rPr>
        <w:t>按《</w:t>
      </w:r>
      <w:r>
        <w:rPr>
          <w:rFonts w:hint="eastAsia" w:cs="宋体"/>
          <w:color w:val="auto"/>
          <w:szCs w:val="24"/>
          <w:highlight w:val="none"/>
          <w:lang w:val="en-US" w:eastAsia="zh-CN"/>
        </w:rPr>
        <w:t>中华人民共和国</w:t>
      </w:r>
      <w:r>
        <w:rPr>
          <w:rFonts w:hint="eastAsia" w:ascii="宋体" w:eastAsia="宋体" w:cs="宋体"/>
          <w:color w:val="auto"/>
          <w:szCs w:val="24"/>
          <w:highlight w:val="none"/>
        </w:rPr>
        <w:t>民法典》中的相关条款执行。</w:t>
      </w:r>
    </w:p>
    <w:p w14:paraId="7A4F2D2D">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2.</w:t>
      </w:r>
      <w:r>
        <w:rPr>
          <w:rFonts w:hint="eastAsia" w:ascii="宋体" w:eastAsia="宋体" w:cs="宋体"/>
          <w:color w:val="auto"/>
          <w:szCs w:val="24"/>
          <w:highlight w:val="none"/>
        </w:rPr>
        <w:t>乙方未按协议要求提供服务或服务质量不能满足协议要求的，甲方应当将供应商违约的情况以及拟采取的措施以书面形式报政府采购监管部门，根据政府采购监管部门的处理意见，甲方有权依据《民法典》有关条款及合同约定终止合同，并要求乙方承担违约责任。同时，政府采购监管部门有权依据《政府采购法》及相关法律法规对乙方的违法行为进行相应的处罚。</w:t>
      </w:r>
    </w:p>
    <w:p w14:paraId="1060682B">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3.</w:t>
      </w:r>
      <w:r>
        <w:rPr>
          <w:rFonts w:hint="eastAsia" w:ascii="宋体" w:eastAsia="宋体" w:cs="宋体"/>
          <w:color w:val="auto"/>
          <w:szCs w:val="24"/>
          <w:highlight w:val="none"/>
        </w:rPr>
        <w:t>由不可抗力因素造成无法按照原计划提供服务，双方互不追究违约责任。</w:t>
      </w:r>
    </w:p>
    <w:p w14:paraId="30AD8C8A">
      <w:pPr>
        <w:tabs>
          <w:tab w:val="left" w:pos="480"/>
        </w:tabs>
        <w:spacing w:line="360" w:lineRule="auto"/>
        <w:ind w:firstLine="480" w:firstLineChars="200"/>
        <w:rPr>
          <w:rFonts w:hint="eastAsia" w:ascii="宋体" w:eastAsia="宋体" w:cs="宋体"/>
          <w:color w:val="auto"/>
          <w:szCs w:val="24"/>
          <w:highlight w:val="none"/>
        </w:rPr>
      </w:pPr>
      <w:r>
        <w:rPr>
          <w:rFonts w:hint="eastAsia" w:ascii="宋体" w:eastAsia="宋体" w:cs="宋体"/>
          <w:color w:val="auto"/>
          <w:szCs w:val="24"/>
          <w:highlight w:val="none"/>
          <w:lang w:val="en-US" w:eastAsia="zh-CN"/>
        </w:rPr>
        <w:t>4.</w:t>
      </w:r>
      <w:r>
        <w:rPr>
          <w:rFonts w:hint="eastAsia" w:ascii="宋体" w:eastAsia="宋体" w:cs="宋体"/>
          <w:color w:val="auto"/>
          <w:szCs w:val="24"/>
          <w:highlight w:val="none"/>
        </w:rPr>
        <w:t>如有异议另行协商。</w:t>
      </w:r>
    </w:p>
    <w:p w14:paraId="5233CB8C">
      <w:pPr>
        <w:tabs>
          <w:tab w:val="left" w:pos="480"/>
        </w:tabs>
        <w:spacing w:line="360" w:lineRule="auto"/>
        <w:outlineLvl w:val="1"/>
        <w:rPr>
          <w:rFonts w:hint="eastAsia" w:cs="宋体"/>
          <w:b/>
          <w:color w:val="auto"/>
          <w:szCs w:val="21"/>
          <w:highlight w:val="none"/>
        </w:rPr>
      </w:pPr>
      <w:r>
        <w:rPr>
          <w:rFonts w:hint="eastAsia" w:cs="宋体"/>
          <w:b/>
          <w:color w:val="auto"/>
          <w:szCs w:val="21"/>
          <w:highlight w:val="none"/>
        </w:rPr>
        <w:t>十二、合同争议解决的方式</w:t>
      </w:r>
      <w:bookmarkEnd w:id="61"/>
      <w:bookmarkEnd w:id="62"/>
      <w:bookmarkEnd w:id="63"/>
      <w:bookmarkEnd w:id="64"/>
      <w:bookmarkEnd w:id="65"/>
    </w:p>
    <w:p w14:paraId="7DE6BF8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本合同在履行过程中发生的争议，由甲、乙双方当事人协商解决，协商不成的按下列第（  ）种方式解决：</w:t>
      </w:r>
    </w:p>
    <w:p w14:paraId="6DC677A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（一）提交</w:t>
      </w:r>
      <w:r>
        <w:rPr>
          <w:rFonts w:hint="eastAsia" w:cs="宋体"/>
          <w:color w:val="auto"/>
          <w:szCs w:val="21"/>
          <w:highlight w:val="none"/>
          <w:u w:val="single"/>
        </w:rPr>
        <w:t xml:space="preserve">  西安</w:t>
      </w:r>
      <w:r>
        <w:rPr>
          <w:rFonts w:hint="eastAsia" w:cs="宋体"/>
          <w:color w:val="auto"/>
          <w:szCs w:val="21"/>
          <w:highlight w:val="none"/>
          <w:u w:val="single"/>
          <w:lang w:val="en-US" w:eastAsia="zh-CN"/>
        </w:rPr>
        <w:t xml:space="preserve">市 </w:t>
      </w:r>
      <w:r>
        <w:rPr>
          <w:rFonts w:hint="eastAsia" w:cs="宋体"/>
          <w:color w:val="auto"/>
          <w:szCs w:val="21"/>
          <w:highlight w:val="none"/>
          <w:u w:val="single"/>
        </w:rPr>
        <w:t xml:space="preserve"> </w:t>
      </w:r>
      <w:r>
        <w:rPr>
          <w:rFonts w:hint="eastAsia" w:cs="宋体"/>
          <w:color w:val="auto"/>
          <w:szCs w:val="21"/>
          <w:highlight w:val="none"/>
        </w:rPr>
        <w:t>仲裁委员会仲裁；</w:t>
      </w:r>
    </w:p>
    <w:p w14:paraId="64361559">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（二）依法向 </w:t>
      </w:r>
      <w:r>
        <w:rPr>
          <w:rFonts w:hint="eastAsia" w:cs="宋体"/>
          <w:color w:val="auto"/>
          <w:szCs w:val="21"/>
          <w:highlight w:val="none"/>
          <w:u w:val="single"/>
        </w:rPr>
        <w:t xml:space="preserve"> 甲方  </w:t>
      </w:r>
      <w:r>
        <w:rPr>
          <w:rFonts w:hint="eastAsia" w:cs="宋体"/>
          <w:color w:val="auto"/>
          <w:szCs w:val="21"/>
          <w:highlight w:val="none"/>
        </w:rPr>
        <w:t>所在地人民法院起诉。</w:t>
      </w:r>
    </w:p>
    <w:p w14:paraId="345F72CB">
      <w:pPr>
        <w:tabs>
          <w:tab w:val="left" w:pos="480"/>
        </w:tabs>
        <w:spacing w:line="360" w:lineRule="auto"/>
        <w:outlineLvl w:val="1"/>
        <w:rPr>
          <w:rFonts w:hint="eastAsia" w:cs="宋体"/>
          <w:b/>
          <w:color w:val="auto"/>
          <w:szCs w:val="21"/>
          <w:highlight w:val="none"/>
        </w:rPr>
      </w:pPr>
      <w:bookmarkStart w:id="66" w:name="_Toc26586"/>
      <w:bookmarkStart w:id="67" w:name="_Toc18958"/>
      <w:bookmarkStart w:id="68" w:name="_Toc29954"/>
      <w:bookmarkStart w:id="69" w:name="_Toc26427"/>
      <w:bookmarkStart w:id="70" w:name="_Toc15228"/>
      <w:r>
        <w:rPr>
          <w:rFonts w:hint="eastAsia" w:cs="宋体"/>
          <w:b/>
          <w:color w:val="auto"/>
          <w:szCs w:val="21"/>
          <w:highlight w:val="none"/>
        </w:rPr>
        <w:t>十三、合同生效</w:t>
      </w:r>
      <w:bookmarkEnd w:id="66"/>
      <w:bookmarkEnd w:id="67"/>
      <w:bookmarkEnd w:id="68"/>
      <w:bookmarkEnd w:id="69"/>
      <w:bookmarkEnd w:id="70"/>
    </w:p>
    <w:p w14:paraId="0D234F4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本合同一式</w:t>
      </w:r>
      <w:r>
        <w:rPr>
          <w:rFonts w:hint="eastAsia" w:cs="宋体"/>
          <w:color w:val="auto"/>
          <w:szCs w:val="21"/>
          <w:highlight w:val="none"/>
          <w:u w:val="single"/>
        </w:rPr>
        <w:t xml:space="preserve">   </w:t>
      </w:r>
      <w:r>
        <w:rPr>
          <w:rFonts w:hint="eastAsia" w:cs="宋体"/>
          <w:color w:val="auto"/>
          <w:szCs w:val="21"/>
          <w:highlight w:val="none"/>
        </w:rPr>
        <w:t>份，甲方执</w:t>
      </w:r>
      <w:r>
        <w:rPr>
          <w:rFonts w:hint="eastAsia" w:cs="宋体"/>
          <w:color w:val="auto"/>
          <w:szCs w:val="21"/>
          <w:highlight w:val="none"/>
          <w:u w:val="single"/>
        </w:rPr>
        <w:t xml:space="preserve">   </w:t>
      </w:r>
      <w:r>
        <w:rPr>
          <w:rFonts w:hint="eastAsia" w:cs="宋体"/>
          <w:color w:val="auto"/>
          <w:szCs w:val="21"/>
          <w:highlight w:val="none"/>
        </w:rPr>
        <w:t>份，乙方执</w:t>
      </w:r>
      <w:r>
        <w:rPr>
          <w:rFonts w:hint="eastAsia" w:cs="宋体"/>
          <w:color w:val="auto"/>
          <w:szCs w:val="21"/>
          <w:highlight w:val="none"/>
          <w:u w:val="single"/>
        </w:rPr>
        <w:t xml:space="preserve">    </w:t>
      </w:r>
      <w:r>
        <w:rPr>
          <w:rFonts w:hint="eastAsia" w:cs="宋体"/>
          <w:color w:val="auto"/>
          <w:szCs w:val="21"/>
          <w:highlight w:val="none"/>
        </w:rPr>
        <w:t>份，本合同甲、乙、确认各方签字盖章后生效，合同执行完毕后，自动失效（合同的服务承诺则长期有效）。</w:t>
      </w:r>
    </w:p>
    <w:p w14:paraId="591B3D03">
      <w:pPr>
        <w:tabs>
          <w:tab w:val="left" w:pos="480"/>
        </w:tabs>
        <w:spacing w:line="360" w:lineRule="auto"/>
        <w:outlineLvl w:val="1"/>
        <w:rPr>
          <w:rFonts w:hint="eastAsia" w:cs="宋体"/>
          <w:b/>
          <w:color w:val="auto"/>
          <w:szCs w:val="21"/>
          <w:highlight w:val="none"/>
        </w:rPr>
      </w:pPr>
      <w:bookmarkStart w:id="71" w:name="_Toc5739"/>
      <w:bookmarkStart w:id="72" w:name="_Toc7095"/>
      <w:bookmarkStart w:id="73" w:name="_Toc14164"/>
      <w:bookmarkStart w:id="74" w:name="_Toc26326"/>
      <w:bookmarkStart w:id="75" w:name="_Toc25269"/>
      <w:r>
        <w:rPr>
          <w:rFonts w:hint="eastAsia" w:cs="宋体"/>
          <w:b/>
          <w:color w:val="auto"/>
          <w:szCs w:val="21"/>
          <w:highlight w:val="none"/>
        </w:rPr>
        <w:t>十四、其他事项</w:t>
      </w:r>
      <w:bookmarkEnd w:id="71"/>
      <w:bookmarkEnd w:id="72"/>
      <w:bookmarkEnd w:id="73"/>
      <w:bookmarkEnd w:id="74"/>
      <w:bookmarkEnd w:id="75"/>
    </w:p>
    <w:p w14:paraId="180907B4">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（一）竞争性磋商文件、竞争性磋商响应文件、澄清表（函）、成交通知书、合同附件均成为合同不可分割的部分。</w:t>
      </w:r>
    </w:p>
    <w:p w14:paraId="1F85EC55">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（二）合同未尽事宜，由甲、乙双方协商，经确认后，作为合同补充，与原合同具有同等法律效力。</w:t>
      </w:r>
    </w:p>
    <w:p w14:paraId="0CD71C4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（三）合同一经签订，不得擅自变更、中止或终止合同。对确需变更、调整或中止、终止合同的，应按规定履行相应的手续。</w:t>
      </w:r>
    </w:p>
    <w:p w14:paraId="06DE7FB8">
      <w:pPr>
        <w:spacing w:line="360" w:lineRule="auto"/>
        <w:ind w:firstLine="420"/>
        <w:rPr>
          <w:color w:val="auto"/>
          <w:szCs w:val="24"/>
          <w:highlight w:val="none"/>
        </w:rPr>
      </w:pPr>
      <w:r>
        <w:rPr>
          <w:rFonts w:hint="eastAsia"/>
          <w:color w:val="auto"/>
          <w:szCs w:val="24"/>
          <w:highlight w:val="none"/>
        </w:rPr>
        <w:t>（四）执行本合同过程中发生争议，由当事人双方协商解决。协商不成，可向</w:t>
      </w:r>
      <w:r>
        <w:rPr>
          <w:rFonts w:hint="eastAsia"/>
          <w:color w:val="auto"/>
          <w:szCs w:val="24"/>
          <w:highlight w:val="none"/>
          <w:lang w:eastAsia="zh-CN"/>
        </w:rPr>
        <w:t>甲方</w:t>
      </w:r>
      <w:r>
        <w:rPr>
          <w:rFonts w:hint="eastAsia"/>
          <w:color w:val="auto"/>
          <w:szCs w:val="24"/>
          <w:highlight w:val="none"/>
        </w:rPr>
        <w:t>所在地人民法院提起诉讼。</w:t>
      </w:r>
    </w:p>
    <w:p w14:paraId="2E2D7A98">
      <w:pPr>
        <w:spacing w:line="360" w:lineRule="auto"/>
        <w:ind w:firstLine="420"/>
        <w:rPr>
          <w:color w:val="auto"/>
          <w:szCs w:val="24"/>
          <w:highlight w:val="none"/>
        </w:rPr>
      </w:pPr>
      <w:r>
        <w:rPr>
          <w:rFonts w:hint="eastAsia"/>
          <w:color w:val="auto"/>
          <w:szCs w:val="24"/>
          <w:highlight w:val="none"/>
        </w:rPr>
        <w:t>（五）合同执行期内，非法定或合同约定，甲乙双方均不得随意变更或解除合同。未尽事宜，经双方</w:t>
      </w:r>
      <w:r>
        <w:rPr>
          <w:rFonts w:hint="eastAsia"/>
          <w:color w:val="auto"/>
          <w:szCs w:val="24"/>
          <w:highlight w:val="none"/>
          <w:lang w:eastAsia="zh-CN"/>
        </w:rPr>
        <w:t>协商作出</w:t>
      </w:r>
      <w:r>
        <w:rPr>
          <w:rFonts w:hint="eastAsia"/>
          <w:color w:val="auto"/>
          <w:szCs w:val="24"/>
          <w:highlight w:val="none"/>
        </w:rPr>
        <w:t>补充规定，补充规定签字盖章后与本合同具有同等效力。其他未尽事宜，按《中华人民共和国民法典》的有关规定执行。</w:t>
      </w:r>
    </w:p>
    <w:p w14:paraId="29453AB9">
      <w:pPr>
        <w:spacing w:line="360" w:lineRule="auto"/>
        <w:ind w:firstLine="420"/>
        <w:rPr>
          <w:color w:val="auto"/>
          <w:szCs w:val="24"/>
          <w:highlight w:val="none"/>
        </w:rPr>
      </w:pPr>
      <w:r>
        <w:rPr>
          <w:rFonts w:hint="eastAsia"/>
          <w:color w:val="auto"/>
          <w:szCs w:val="24"/>
          <w:highlight w:val="none"/>
        </w:rPr>
        <w:t>（六）如因不可抗力致使双方不能履行本合同中的部分或全部义务时，双方均不负违约责任。但不能履行义务一方应在合理的时间内，向对方报告所发生的不可抗力并提供有关部门的证明文件。本条所称“不可抗力”是指自然灾害、重大疫情、恶劣天气条件、政府行为、社会异常事件（包括罢工、政变、骚乱、游行等）或新颁布的法律、法规等不能预见、不能避免并不能克服的客观情况。</w:t>
      </w:r>
    </w:p>
    <w:p w14:paraId="47C2F6C0">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（七）本合同按照中华人民共和国的现行法律进行解释。</w:t>
      </w:r>
    </w:p>
    <w:p w14:paraId="1500AC72">
      <w:pPr>
        <w:rPr>
          <w:rFonts w:hint="eastAsia"/>
          <w:color w:val="auto"/>
          <w:highlight w:val="none"/>
        </w:rPr>
      </w:pPr>
    </w:p>
    <w:p w14:paraId="0395519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甲  方（盖章）                            乙  方（盖章）</w:t>
      </w:r>
    </w:p>
    <w:p w14:paraId="103A610A">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单位名称：                                单位名称：</w:t>
      </w:r>
    </w:p>
    <w:p w14:paraId="44B852B9">
      <w:pPr>
        <w:tabs>
          <w:tab w:val="left" w:pos="480"/>
        </w:tabs>
        <w:spacing w:line="360" w:lineRule="auto"/>
        <w:ind w:left="6720" w:leftChars="200" w:hanging="6240" w:hangingChars="2600"/>
        <w:rPr>
          <w:rFonts w:hint="eastAsia" w:cs="宋体"/>
          <w:color w:val="auto"/>
          <w:szCs w:val="21"/>
          <w:highlight w:val="none"/>
        </w:rPr>
      </w:pPr>
      <w:r>
        <w:rPr>
          <w:rFonts w:hint="eastAsia" w:cs="宋体"/>
          <w:color w:val="auto"/>
          <w:szCs w:val="21"/>
          <w:highlight w:val="none"/>
        </w:rPr>
        <w:t>地  址：                                  地  址：</w:t>
      </w:r>
    </w:p>
    <w:p w14:paraId="219257D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法定代表人                                法定代表人</w:t>
      </w:r>
    </w:p>
    <w:p w14:paraId="1A11471B">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或委托代理人：                            或委托代理人：</w:t>
      </w:r>
    </w:p>
    <w:p w14:paraId="343BB12E">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 xml:space="preserve">                                          开户银行：</w:t>
      </w:r>
    </w:p>
    <w:p w14:paraId="34876B70">
      <w:pPr>
        <w:tabs>
          <w:tab w:val="left" w:pos="480"/>
        </w:tabs>
        <w:spacing w:line="360" w:lineRule="auto"/>
        <w:ind w:firstLine="5520" w:firstLineChars="2300"/>
        <w:rPr>
          <w:rFonts w:hint="eastAsia" w:cs="宋体"/>
          <w:color w:val="auto"/>
          <w:szCs w:val="21"/>
          <w:highlight w:val="none"/>
        </w:rPr>
      </w:pPr>
      <w:r>
        <w:rPr>
          <w:rFonts w:hint="eastAsia" w:cs="宋体"/>
          <w:color w:val="auto"/>
          <w:szCs w:val="21"/>
          <w:highlight w:val="none"/>
        </w:rPr>
        <w:t xml:space="preserve">账  号：       </w:t>
      </w:r>
    </w:p>
    <w:p w14:paraId="0762407F">
      <w:pPr>
        <w:tabs>
          <w:tab w:val="left" w:pos="480"/>
        </w:tabs>
        <w:spacing w:line="360" w:lineRule="auto"/>
        <w:ind w:firstLine="480" w:firstLineChars="200"/>
        <w:rPr>
          <w:rFonts w:hint="eastAsia" w:cs="宋体"/>
          <w:color w:val="auto"/>
          <w:szCs w:val="21"/>
          <w:highlight w:val="none"/>
        </w:rPr>
      </w:pPr>
      <w:r>
        <w:rPr>
          <w:rFonts w:hint="eastAsia" w:cs="宋体"/>
          <w:color w:val="auto"/>
          <w:szCs w:val="21"/>
          <w:highlight w:val="none"/>
        </w:rPr>
        <w:t>联系电话：                                联系电话：</w:t>
      </w:r>
    </w:p>
    <w:p w14:paraId="741F5516">
      <w:pPr>
        <w:tabs>
          <w:tab w:val="left" w:pos="480"/>
        </w:tabs>
        <w:spacing w:line="360" w:lineRule="auto"/>
        <w:ind w:firstLine="480" w:firstLineChars="200"/>
      </w:pPr>
      <w:r>
        <w:rPr>
          <w:rFonts w:hint="eastAsia" w:cs="宋体"/>
          <w:color w:val="auto"/>
          <w:szCs w:val="21"/>
          <w:highlight w:val="none"/>
        </w:rPr>
        <w:t>签订日期：     年    月      日           签订日期：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DF9338"/>
    <w:multiLevelType w:val="singleLevel"/>
    <w:tmpl w:val="11DF933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YjcyYzk1MzgzYTFlYzdlZWJhMDQ2ZTVmZjkxZTEifQ=="/>
  </w:docVars>
  <w:rsids>
    <w:rsidRoot w:val="57D629DB"/>
    <w:rsid w:val="06264A24"/>
    <w:rsid w:val="0CDD2D53"/>
    <w:rsid w:val="0FB72D3D"/>
    <w:rsid w:val="147C5629"/>
    <w:rsid w:val="182D1077"/>
    <w:rsid w:val="1B9B1780"/>
    <w:rsid w:val="20621ABD"/>
    <w:rsid w:val="284232D8"/>
    <w:rsid w:val="2AD6768B"/>
    <w:rsid w:val="2BB24980"/>
    <w:rsid w:val="2E7C31D1"/>
    <w:rsid w:val="31D931E9"/>
    <w:rsid w:val="478A34FC"/>
    <w:rsid w:val="4B713A4A"/>
    <w:rsid w:val="4C8E0C24"/>
    <w:rsid w:val="57D629DB"/>
    <w:rsid w:val="59411541"/>
    <w:rsid w:val="5BD50B83"/>
    <w:rsid w:val="5EE455EE"/>
    <w:rsid w:val="68BA4E6C"/>
    <w:rsid w:val="6CB30C91"/>
    <w:rsid w:val="6D5D5725"/>
    <w:rsid w:val="781F2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0"/>
    <w:pPr>
      <w:keepNext/>
      <w:keepLines/>
      <w:widowControl/>
      <w:spacing w:before="260" w:after="260"/>
      <w:ind w:left="284"/>
      <w:jc w:val="left"/>
      <w:outlineLvl w:val="1"/>
    </w:pPr>
    <w:rPr>
      <w:rFonts w:ascii="Arial" w:hAnsi="Arial"/>
      <w:b/>
      <w:bCs/>
      <w:sz w:val="28"/>
      <w:szCs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rFonts w:ascii="Times New Roman" w:hAnsi="Times New Roman"/>
      <w:kern w:val="2"/>
      <w:sz w:val="21"/>
    </w:rPr>
  </w:style>
  <w:style w:type="table" w:styleId="5">
    <w:name w:val="Table Grid"/>
    <w:basedOn w:val="4"/>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正文缩进1"/>
    <w:basedOn w:val="1"/>
    <w:qFormat/>
    <w:uiPriority w:val="0"/>
    <w:pPr>
      <w:ind w:firstLine="200" w:firstLineChars="200"/>
    </w:p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3099</Words>
  <Characters>3136</Characters>
  <Lines>0</Lines>
  <Paragraphs>0</Paragraphs>
  <TotalTime>0</TotalTime>
  <ScaleCrop>false</ScaleCrop>
  <LinksUpToDate>false</LinksUpToDate>
  <CharactersWithSpaces>3596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2024-06-27T12:43:00Z</dcterms:created>
  <dc:creator>木子慕</dc:creator>
  <cp:lastModifiedBy>走花路的魔法师</cp:lastModifiedBy>
  <cp:lastPrinted>2024-10-10T03:31:00Z</cp:lastPrinted>
  <dcterms:modified xsi:type="dcterms:W3CDTF">2026-03-09T09:48:39Z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5539AD290A3D4CE8B7A0B4D5742C4BB0_13</vt:lpwstr>
  </property>
  <property fmtid="{D5CDD505-2E9C-101B-9397-08002B2CF9AE}" pid="4" name="KSOTemplateDocerSaveRecord">
    <vt:lpwstr>eyJoZGlkIjoiOGEyYjcyYzk1MzgzYTFlYzdlZWJhMDQ2ZTVmZjkxZTEiLCJ1c2VySWQiOiIxMzAwNzQ5MTIwIn0=</vt:lpwstr>
  </property>
</Properties>
</file>