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F70F1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en-US" w:eastAsia="zh-CN" w:bidi="ar-SA"/>
        </w:rPr>
        <w:t>（本格式合同条款供双方签订合同参考，采购人可根据项目的实际情况增减条款和内容）</w:t>
      </w:r>
    </w:p>
    <w:p w14:paraId="360B77FE">
      <w:pPr>
        <w:pStyle w:val="6"/>
      </w:pPr>
    </w:p>
    <w:p w14:paraId="20AAE4DB">
      <w:pPr>
        <w:pStyle w:val="6"/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  <w:r>
        <w:rPr>
          <w:rFonts w:ascii="仿宋_GB2312" w:hAnsi="仿宋_GB2312" w:eastAsia="仿宋_GB2312" w:cs="仿宋_GB2312"/>
        </w:rPr>
        <w:br w:type="page"/>
      </w:r>
    </w:p>
    <w:p w14:paraId="0C8AA89E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en-US"/>
        </w:rPr>
        <w:t xml:space="preserve">政府采购项目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en-US"/>
        </w:rPr>
        <w:t xml:space="preserve">                                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bdr w:val="single" w:color="auto" w:sz="4" w:space="0"/>
          <w:lang w:bidi="en-US"/>
        </w:rPr>
        <w:t>竞争性磋商</w:t>
      </w:r>
    </w:p>
    <w:p w14:paraId="2AEEF8CA">
      <w:pPr>
        <w:keepNext/>
        <w:keepLines/>
        <w:spacing w:after="120" w:line="360" w:lineRule="auto"/>
        <w:ind w:left="620" w:firstLine="1160" w:firstLineChars="200"/>
        <w:jc w:val="center"/>
        <w:outlineLvl w:val="0"/>
        <w:rPr>
          <w:rFonts w:hint="eastAsia" w:ascii="仿宋" w:hAnsi="仿宋" w:eastAsia="仿宋" w:cs="仿宋"/>
          <w:sz w:val="58"/>
          <w:szCs w:val="58"/>
          <w:lang w:bidi="en-US"/>
        </w:rPr>
      </w:pPr>
    </w:p>
    <w:p w14:paraId="4C1D413D">
      <w:pPr>
        <w:spacing w:line="360" w:lineRule="auto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 w:bidi="zh-TW"/>
        </w:rPr>
        <w:t>《西安市秦岭生态环境保护条例》评估项目</w:t>
      </w:r>
    </w:p>
    <w:p w14:paraId="5B5CAD15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TW" w:eastAsia="zh-TW" w:bidi="zh-TW"/>
        </w:rPr>
      </w:pPr>
    </w:p>
    <w:p w14:paraId="41E474E1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000000"/>
          <w:sz w:val="72"/>
          <w:szCs w:val="72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服务合同</w:t>
      </w:r>
      <w:bookmarkEnd w:id="0"/>
    </w:p>
    <w:p w14:paraId="0DD7F0F2">
      <w:pPr>
        <w:spacing w:after="120" w:line="360" w:lineRule="auto"/>
        <w:jc w:val="center"/>
        <w:rPr>
          <w:rFonts w:hint="eastAsia" w:ascii="仿宋" w:hAnsi="仿宋" w:eastAsia="仿宋" w:cs="仿宋"/>
          <w:color w:val="000000"/>
          <w:sz w:val="28"/>
          <w:szCs w:val="28"/>
          <w:lang w:bidi="en-US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  <w:t>（编号：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 w:bidi="zh-TW"/>
        </w:rPr>
        <w:t>HYTF-202603010</w:t>
      </w:r>
      <w:r>
        <w:rPr>
          <w:rFonts w:hint="eastAsia" w:ascii="仿宋" w:hAnsi="仿宋" w:eastAsia="仿宋" w:cs="仿宋"/>
          <w:color w:val="000000"/>
          <w:sz w:val="28"/>
          <w:szCs w:val="28"/>
          <w:lang w:bidi="en-US"/>
        </w:rPr>
        <w:t>）</w:t>
      </w:r>
    </w:p>
    <w:p w14:paraId="76EAA2E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7EAC2583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585D754F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01271E6D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lang w:bidi="zh-TW"/>
        </w:rPr>
      </w:pPr>
      <w:bookmarkStart w:id="1" w:name="bookmark4"/>
      <w:bookmarkStart w:id="2" w:name="bookmark5"/>
      <w:bookmarkStart w:id="3" w:name="bookmark3"/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甲方：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>西安市秦岭生态环境保护管理局</w:t>
      </w:r>
    </w:p>
    <w:p w14:paraId="38E99470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  <w:t xml:space="preserve">                         </w:t>
      </w:r>
    </w:p>
    <w:p w14:paraId="7471ED09">
      <w:pPr>
        <w:spacing w:after="480" w:line="360" w:lineRule="auto"/>
        <w:ind w:left="200" w:firstLine="3015" w:firstLineChars="1005"/>
        <w:jc w:val="left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bidi="en-US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 w:bidi="en-US"/>
        </w:rPr>
        <w:t>6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 xml:space="preserve">月 </w:t>
      </w:r>
    </w:p>
    <w:p w14:paraId="1C377816">
      <w:pPr>
        <w:spacing w:line="360" w:lineRule="auto"/>
        <w:ind w:left="1571" w:leftChars="748" w:firstLine="1776" w:firstLineChars="592"/>
        <w:jc w:val="left"/>
        <w:rPr>
          <w:rFonts w:hint="eastAsia"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中国</w:t>
      </w:r>
      <w:r>
        <w:rPr>
          <w:rFonts w:hint="eastAsia" w:ascii="仿宋" w:hAnsi="仿宋" w:eastAsia="仿宋" w:cs="仿宋"/>
          <w:sz w:val="30"/>
          <w:szCs w:val="30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西安</w:t>
      </w:r>
    </w:p>
    <w:p w14:paraId="02BF01A7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bidi="en-US"/>
        </w:rPr>
        <w:br w:type="page"/>
      </w:r>
    </w:p>
    <w:bookmarkEnd w:id="1"/>
    <w:bookmarkEnd w:id="2"/>
    <w:bookmarkEnd w:id="3"/>
    <w:p w14:paraId="3588A98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甲方（采购人名称全称）：</w:t>
      </w:r>
      <w:r>
        <w:rPr>
          <w:rFonts w:hint="eastAsia" w:ascii="仿宋" w:hAnsi="仿宋" w:eastAsia="仿宋" w:cs="仿宋"/>
          <w:sz w:val="24"/>
          <w:lang w:bidi="zh-TW"/>
        </w:rPr>
        <w:t>西安市秦岭生态环境保护管理局</w:t>
      </w:r>
    </w:p>
    <w:p w14:paraId="004D2BC0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u w:val="single"/>
          <w:lang w:val="en-US" w:eastAsia="zh-CN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乙方（供应商名称全称）：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              </w:t>
      </w:r>
    </w:p>
    <w:p w14:paraId="32AC3481">
      <w:pPr>
        <w:spacing w:line="360" w:lineRule="auto"/>
        <w:outlineLvl w:val="2"/>
        <w:rPr>
          <w:rFonts w:hint="eastAsia" w:ascii="仿宋" w:hAnsi="仿宋" w:eastAsia="仿宋" w:cs="仿宋"/>
          <w:sz w:val="24"/>
          <w:lang w:val="zh-TW"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 xml:space="preserve">  《西安市秦岭生态环境保护条例》评估项目，</w:t>
      </w:r>
      <w:r>
        <w:rPr>
          <w:rFonts w:hint="eastAsia" w:ascii="仿宋" w:hAnsi="仿宋" w:eastAsia="仿宋" w:cs="仿宋"/>
          <w:sz w:val="24"/>
          <w:lang w:bidi="zh-TW"/>
        </w:rPr>
        <w:t>项目编号：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HYTF-202603010</w:t>
      </w:r>
      <w:r>
        <w:rPr>
          <w:rFonts w:hint="eastAsia" w:ascii="仿宋" w:hAnsi="仿宋" w:eastAsia="仿宋" w:cs="仿宋"/>
          <w:sz w:val="24"/>
          <w:lang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</w:t>
      </w:r>
      <w:r>
        <w:rPr>
          <w:rFonts w:hint="eastAsia" w:ascii="仿宋" w:hAnsi="仿宋" w:eastAsia="仿宋" w:cs="仿宋"/>
          <w:sz w:val="24"/>
          <w:lang w:bidi="zh-TW"/>
        </w:rPr>
        <w:t>西安市</w:t>
      </w:r>
      <w:r>
        <w:rPr>
          <w:rFonts w:hint="eastAsia" w:ascii="仿宋" w:hAnsi="仿宋" w:eastAsia="仿宋" w:cs="仿宋"/>
          <w:kern w:val="0"/>
          <w:sz w:val="24"/>
        </w:rPr>
        <w:t>财政局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的监督管理下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按照</w:t>
      </w:r>
      <w:r>
        <w:rPr>
          <w:rFonts w:hint="eastAsia" w:ascii="仿宋" w:hAnsi="仿宋" w:eastAsia="仿宋" w:cs="仿宋"/>
          <w:sz w:val="24"/>
          <w:lang w:bidi="zh-TW"/>
        </w:rPr>
        <w:t>政府采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购程序组织竞争性磋商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确定乙方</w:t>
      </w:r>
      <w:r>
        <w:rPr>
          <w:rFonts w:hint="eastAsia" w:ascii="仿宋" w:hAnsi="仿宋" w:eastAsia="仿宋" w:cs="仿宋"/>
          <w:sz w:val="24"/>
          <w:lang w:bidi="zh-TW"/>
        </w:rPr>
        <w:t>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成交供应商。依据</w:t>
      </w:r>
      <w:r>
        <w:rPr>
          <w:rFonts w:hint="eastAsia" w:ascii="仿宋" w:hAnsi="仿宋" w:eastAsia="仿宋" w:cs="仿宋"/>
          <w:sz w:val="24"/>
          <w:lang w:bidi="zh-TW"/>
        </w:rPr>
        <w:t>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中华人民共和国政府</w:t>
      </w:r>
      <w:r>
        <w:rPr>
          <w:rFonts w:hint="eastAsia" w:ascii="仿宋" w:hAnsi="仿宋" w:eastAsia="仿宋" w:cs="仿宋"/>
          <w:sz w:val="24"/>
          <w:lang w:bidi="zh-TW"/>
        </w:rPr>
        <w:t>采购法》、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《</w:t>
      </w:r>
      <w:r>
        <w:rPr>
          <w:rFonts w:hint="eastAsia" w:ascii="仿宋" w:hAnsi="仿宋" w:eastAsia="仿宋" w:cs="仿宋"/>
          <w:sz w:val="24"/>
          <w:lang w:bidi="zh-TW"/>
        </w:rPr>
        <w:t>中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华人民共和国民法典》以及竞争性</w:t>
      </w:r>
      <w:r>
        <w:rPr>
          <w:rFonts w:hint="eastAsia" w:ascii="仿宋" w:hAnsi="仿宋" w:eastAsia="仿宋" w:cs="仿宋"/>
          <w:sz w:val="24"/>
          <w:lang w:bidi="zh-TW"/>
        </w:rPr>
        <w:t>磋商文件、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成交通知书，经甲、乙双方协商，达成如下合同条款</w:t>
      </w:r>
      <w:r>
        <w:rPr>
          <w:rFonts w:hint="eastAsia" w:ascii="仿宋" w:hAnsi="仿宋" w:eastAsia="仿宋" w:cs="仿宋"/>
          <w:sz w:val="24"/>
          <w:lang w:val="zh-TW" w:bidi="zh-TW"/>
        </w:rPr>
        <w:t>。</w:t>
      </w:r>
    </w:p>
    <w:p w14:paraId="0FC14C64">
      <w:pPr>
        <w:spacing w:after="100"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一、合同标的物内容及数量（以响应文件正本和澄清表〈函〉为准）</w:t>
      </w:r>
    </w:p>
    <w:tbl>
      <w:tblPr>
        <w:tblStyle w:val="4"/>
        <w:tblW w:w="88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30"/>
        <w:gridCol w:w="1266"/>
        <w:gridCol w:w="1266"/>
        <w:gridCol w:w="1266"/>
        <w:gridCol w:w="1266"/>
        <w:gridCol w:w="915"/>
        <w:gridCol w:w="1053"/>
        <w:gridCol w:w="1053"/>
      </w:tblGrid>
      <w:tr w14:paraId="00E21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73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1CC6E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序号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CCF54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服务名称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130D1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服务内容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BE731E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计量单位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CA1F0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服务时间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5E33CD1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数量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608B33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单价</w:t>
            </w:r>
          </w:p>
          <w:p w14:paraId="2E72B2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（元）</w:t>
            </w:r>
          </w:p>
        </w:tc>
        <w:tc>
          <w:tcPr>
            <w:tcW w:w="1053" w:type="dxa"/>
            <w:shd w:val="clear" w:color="auto" w:fill="auto"/>
            <w:vAlign w:val="center"/>
          </w:tcPr>
          <w:p w14:paraId="10452D8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总价</w:t>
            </w:r>
          </w:p>
          <w:p w14:paraId="5C2142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（元）</w:t>
            </w:r>
          </w:p>
        </w:tc>
      </w:tr>
      <w:tr w14:paraId="57F3D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02C7CA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1</w:t>
            </w:r>
          </w:p>
        </w:tc>
        <w:tc>
          <w:tcPr>
            <w:tcW w:w="1266" w:type="dxa"/>
            <w:shd w:val="clear" w:color="auto" w:fill="auto"/>
          </w:tcPr>
          <w:p w14:paraId="24C6C71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CFC0FD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C67FF7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3673D9B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7E0A50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5E4881F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4599EC0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7CF1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3AFF293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2</w:t>
            </w:r>
          </w:p>
        </w:tc>
        <w:tc>
          <w:tcPr>
            <w:tcW w:w="1266" w:type="dxa"/>
            <w:shd w:val="clear" w:color="auto" w:fill="auto"/>
          </w:tcPr>
          <w:p w14:paraId="4E8D03C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B65BB5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1CDC96D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68BF06F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5DAF9EC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53474B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118A1B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922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4C87795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3</w:t>
            </w:r>
          </w:p>
        </w:tc>
        <w:tc>
          <w:tcPr>
            <w:tcW w:w="1266" w:type="dxa"/>
            <w:shd w:val="clear" w:color="auto" w:fill="auto"/>
          </w:tcPr>
          <w:p w14:paraId="21D8DFB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5A3E8B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97442A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EC5E57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1CA8B12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41363C8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9AE716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3379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7AF13F5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4</w:t>
            </w:r>
          </w:p>
        </w:tc>
        <w:tc>
          <w:tcPr>
            <w:tcW w:w="1266" w:type="dxa"/>
            <w:shd w:val="clear" w:color="auto" w:fill="auto"/>
          </w:tcPr>
          <w:p w14:paraId="37B7A02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4025F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32D1897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B31809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3F6580E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C3AEAD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62CA1BC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BFE9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3FC731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5</w:t>
            </w:r>
          </w:p>
        </w:tc>
        <w:tc>
          <w:tcPr>
            <w:tcW w:w="1266" w:type="dxa"/>
            <w:shd w:val="clear" w:color="auto" w:fill="auto"/>
          </w:tcPr>
          <w:p w14:paraId="6E9B0B6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13F0FFB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C3B92B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F46988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0C88FA3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72592DD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2133418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E880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9C925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6</w:t>
            </w:r>
          </w:p>
        </w:tc>
        <w:tc>
          <w:tcPr>
            <w:tcW w:w="1266" w:type="dxa"/>
            <w:shd w:val="clear" w:color="auto" w:fill="auto"/>
          </w:tcPr>
          <w:p w14:paraId="7A08BAA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75BDCF2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673E9B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55242AF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0327A58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2B1FCB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5111C8D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A923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5BF271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7</w:t>
            </w:r>
          </w:p>
        </w:tc>
        <w:tc>
          <w:tcPr>
            <w:tcW w:w="1266" w:type="dxa"/>
            <w:shd w:val="clear" w:color="auto" w:fill="auto"/>
          </w:tcPr>
          <w:p w14:paraId="6457AEF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7345E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1E7982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0D966A3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BC9CA7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D9BA45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70E36C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D93C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5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1334FC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...</w:t>
            </w:r>
          </w:p>
        </w:tc>
        <w:tc>
          <w:tcPr>
            <w:tcW w:w="1266" w:type="dxa"/>
            <w:shd w:val="clear" w:color="auto" w:fill="auto"/>
          </w:tcPr>
          <w:p w14:paraId="16F114F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584AF2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6E9FD3A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C86857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7D2D10D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15DEC9B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65EB1D2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CCE7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5C260E2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N</w:t>
            </w:r>
          </w:p>
        </w:tc>
        <w:tc>
          <w:tcPr>
            <w:tcW w:w="1266" w:type="dxa"/>
            <w:shd w:val="clear" w:color="auto" w:fill="auto"/>
          </w:tcPr>
          <w:p w14:paraId="5511013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43842B6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2FBA7EC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266" w:type="dxa"/>
            <w:shd w:val="clear" w:color="auto" w:fill="auto"/>
          </w:tcPr>
          <w:p w14:paraId="5B98EDC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5" w:type="dxa"/>
            <w:shd w:val="clear" w:color="auto" w:fill="auto"/>
          </w:tcPr>
          <w:p w14:paraId="64A6546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705B6BD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53" w:type="dxa"/>
            <w:shd w:val="clear" w:color="auto" w:fill="auto"/>
          </w:tcPr>
          <w:p w14:paraId="331EB93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4AA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7" w:hRule="exact"/>
          <w:jc w:val="center"/>
        </w:trPr>
        <w:tc>
          <w:tcPr>
            <w:tcW w:w="730" w:type="dxa"/>
            <w:shd w:val="clear" w:color="auto" w:fill="auto"/>
            <w:vAlign w:val="bottom"/>
          </w:tcPr>
          <w:p w14:paraId="05660BA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合计</w:t>
            </w:r>
          </w:p>
        </w:tc>
        <w:tc>
          <w:tcPr>
            <w:tcW w:w="8085" w:type="dxa"/>
            <w:gridSpan w:val="7"/>
            <w:shd w:val="clear" w:color="auto" w:fill="auto"/>
          </w:tcPr>
          <w:p w14:paraId="56ACE21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E961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5" w:hRule="exact"/>
          <w:jc w:val="center"/>
        </w:trPr>
        <w:tc>
          <w:tcPr>
            <w:tcW w:w="730" w:type="dxa"/>
            <w:shd w:val="clear" w:color="auto" w:fill="auto"/>
          </w:tcPr>
          <w:p w14:paraId="258078F6">
            <w:pPr>
              <w:spacing w:before="120"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备注</w:t>
            </w:r>
          </w:p>
        </w:tc>
        <w:tc>
          <w:tcPr>
            <w:tcW w:w="8085" w:type="dxa"/>
            <w:gridSpan w:val="7"/>
            <w:shd w:val="clear" w:color="auto" w:fill="auto"/>
          </w:tcPr>
          <w:p w14:paraId="2DDB196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</w:tbl>
    <w:p w14:paraId="4EB44065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（上表仅供参考,应根据项目具体内容修改填写，详细服务内容及明细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标准可附附件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或详见响应文件，需说明清楚）</w:t>
      </w:r>
    </w:p>
    <w:p w14:paraId="65B63BEB">
      <w:pPr>
        <w:spacing w:after="80"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服务条件及内容要求</w:t>
      </w:r>
    </w:p>
    <w:p w14:paraId="5780AB81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服务期限：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      </w:t>
      </w:r>
    </w:p>
    <w:p w14:paraId="2EFCF710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（二）服务内容：详见</w:t>
      </w:r>
      <w:r>
        <w:rPr>
          <w:rFonts w:hint="eastAsia" w:ascii="仿宋" w:hAnsi="仿宋" w:eastAsia="仿宋" w:cs="仿宋"/>
          <w:sz w:val="24"/>
        </w:rPr>
        <w:t>采购内容及需求</w:t>
      </w:r>
      <w:r>
        <w:rPr>
          <w:rFonts w:hint="eastAsia" w:ascii="仿宋" w:hAnsi="仿宋" w:eastAsia="仿宋" w:cs="仿宋"/>
          <w:sz w:val="24"/>
          <w:lang w:bidi="zh-TW"/>
        </w:rPr>
        <w:t>。</w:t>
      </w:r>
    </w:p>
    <w:p w14:paraId="2795DC02">
      <w:pPr>
        <w:spacing w:line="360" w:lineRule="auto"/>
        <w:ind w:firstLine="241" w:firstLineChars="1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206AE062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</w:t>
      </w:r>
      <w:r>
        <w:rPr>
          <w:rFonts w:hint="eastAsia" w:ascii="仿宋" w:hAnsi="仿宋" w:eastAsia="仿宋" w:cs="仿宋"/>
          <w:sz w:val="24"/>
          <w:lang w:bidi="zh-TW"/>
        </w:rPr>
        <w:t>元）。</w:t>
      </w:r>
    </w:p>
    <w:p w14:paraId="71BAF779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273A3AFD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（三）合同总价不受市场价格变化因素的影响，一次性包死。</w:t>
      </w:r>
    </w:p>
    <w:p w14:paraId="0963A5F2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09CC4238">
      <w:pPr>
        <w:pStyle w:val="6"/>
        <w:spacing w:line="360" w:lineRule="auto"/>
        <w:ind w:firstLine="480" w:firstLineChars="200"/>
        <w:rPr>
          <w:rFonts w:hint="eastAsia" w:ascii="仿宋_GB2312" w:hAnsi="仿宋_GB2312" w:eastAsia="仿宋_GB2312" w:cs="仿宋_GB2312"/>
          <w:sz w:val="24"/>
          <w:szCs w:val="24"/>
          <w:lang w:val="zh-TW" w:eastAsia="zh-TW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zh-TW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一</w:t>
      </w:r>
      <w:r>
        <w:rPr>
          <w:rFonts w:hint="eastAsia" w:ascii="仿宋_GB2312" w:hAnsi="仿宋_GB2312" w:eastAsia="仿宋_GB2312" w:cs="仿宋_GB2312"/>
          <w:sz w:val="24"/>
          <w:szCs w:val="24"/>
          <w:lang w:val="zh-TW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  <w:lang w:val="zh-TW" w:eastAsia="zh-TW"/>
        </w:rPr>
        <w:t>合同款的支付：</w:t>
      </w:r>
    </w:p>
    <w:p w14:paraId="716B76AE">
      <w:pPr>
        <w:pStyle w:val="6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1）</w:t>
      </w:r>
      <w:r>
        <w:rPr>
          <w:rFonts w:ascii="仿宋_GB2312" w:hAnsi="仿宋_GB2312" w:eastAsia="仿宋_GB2312" w:cs="仿宋_GB2312"/>
          <w:sz w:val="24"/>
          <w:szCs w:val="24"/>
        </w:rPr>
        <w:t xml:space="preserve">合同签订后，达到付款条件起 30日内，支付合同总金额的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7</w:t>
      </w:r>
      <w:r>
        <w:rPr>
          <w:rFonts w:ascii="仿宋_GB2312" w:hAnsi="仿宋_GB2312" w:eastAsia="仿宋_GB2312" w:cs="仿宋_GB2312"/>
          <w:sz w:val="24"/>
          <w:szCs w:val="24"/>
        </w:rPr>
        <w:t>0.00%。</w:t>
      </w:r>
    </w:p>
    <w:p w14:paraId="3C03B08E">
      <w:pPr>
        <w:pStyle w:val="6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lightGray"/>
          <w:lang w:val="zh-TW" w:eastAsia="zh-TW" w:bidi="zh-TW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2）</w:t>
      </w:r>
      <w:r>
        <w:rPr>
          <w:rFonts w:ascii="仿宋_GB2312" w:hAnsi="仿宋_GB2312" w:eastAsia="仿宋_GB2312" w:cs="仿宋_GB2312"/>
          <w:sz w:val="24"/>
          <w:szCs w:val="24"/>
        </w:rPr>
        <w:t xml:space="preserve">项目完成验收合格后，达到付款条件起 30日内，支付合同总金额的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</w:t>
      </w:r>
      <w:r>
        <w:rPr>
          <w:rFonts w:ascii="仿宋_GB2312" w:hAnsi="仿宋_GB2312" w:eastAsia="仿宋_GB2312" w:cs="仿宋_GB2312"/>
          <w:sz w:val="24"/>
          <w:szCs w:val="24"/>
        </w:rPr>
        <w:t>0.00%。</w:t>
      </w:r>
    </w:p>
    <w:p w14:paraId="70644E3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szCs w:val="24"/>
          <w:lang w:val="zh-TW" w:eastAsia="zh-TW" w:bidi="zh-TW"/>
        </w:rPr>
        <w:t>方式：银行转账。</w:t>
      </w:r>
    </w:p>
    <w:p w14:paraId="56406B5F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结算方式：付款前乙方应向甲</w:t>
      </w:r>
      <w:r>
        <w:rPr>
          <w:rFonts w:hint="eastAsia" w:ascii="仿宋" w:hAnsi="仿宋" w:eastAsia="仿宋" w:cs="仿宋"/>
          <w:sz w:val="24"/>
          <w:lang w:bidi="zh-TW"/>
        </w:rPr>
        <w:t>方提供合法有效的发票。乙方持成交通知书、服务合同、发票，与甲方结算。</w:t>
      </w:r>
    </w:p>
    <w:p w14:paraId="25480532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71BF8B7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甲方的权利和义务</w:t>
      </w:r>
    </w:p>
    <w:p w14:paraId="3172896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6C712C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2、负责检查监督乙方管理工作的实施及制度的执行情况。</w:t>
      </w:r>
    </w:p>
    <w:p w14:paraId="071A1EE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3、根据本合同规定，按时向乙方支付应付服务费用。</w:t>
      </w:r>
    </w:p>
    <w:p w14:paraId="2D57EEE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4、国家法律、法规所规定由甲方承担的其它责任。</w:t>
      </w:r>
    </w:p>
    <w:p w14:paraId="5149745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（二）乙方的权利和义务</w:t>
      </w:r>
    </w:p>
    <w:p w14:paraId="78B7BE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1、对本合同规定的委托服务范围内的项目享有管理权及服务义务。</w:t>
      </w:r>
    </w:p>
    <w:p w14:paraId="5CAFD3A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2、根据本合同的规定向甲方收取相关服务费用，并有权在本项目管理范围内管理及合理使用。</w:t>
      </w:r>
    </w:p>
    <w:p w14:paraId="206DB95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3、及时向甲方通告本项目服务范围内有关服务的重大事项，及时配合处理投诉。</w:t>
      </w:r>
    </w:p>
    <w:p w14:paraId="7D02AE7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4、在服务过程中接受项目行业管理部门及政府有关部门的指导，接受甲方的监督。</w:t>
      </w:r>
    </w:p>
    <w:p w14:paraId="47E6678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5、国家法律、法规所规定由乙方承担的其它责任。</w:t>
      </w:r>
    </w:p>
    <w:p w14:paraId="0A222D8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6、乙方应按国家技术规范、标准、规程和甲方的需求展开工作。</w:t>
      </w:r>
    </w:p>
    <w:p w14:paraId="7493C5C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7、乙方在进行服务过程中，需遵守甲方的规章制度，接受甲方的安排与协调。</w:t>
      </w:r>
    </w:p>
    <w:p w14:paraId="4598442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8、如因乙方原因导致服务工作无法开展，乙方应承担相应的责任，并采取积极的补救措施。</w:t>
      </w:r>
    </w:p>
    <w:p w14:paraId="64F59E3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9、在服务工作开展过程中，如出现意外事故，由乙方自行承担。</w:t>
      </w:r>
    </w:p>
    <w:p w14:paraId="4DE000DF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六、质量保证</w:t>
      </w:r>
    </w:p>
    <w:p w14:paraId="167D7EB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乙方所供服务必须执行下列条款：</w:t>
      </w:r>
    </w:p>
    <w:p w14:paraId="37DE29E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（一）服务方案和方式科学、可行，人员配置合理，全面满足要求。</w:t>
      </w:r>
    </w:p>
    <w:p w14:paraId="68FB350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（二）符合国家有关服务规范要求，确保各项服务达到最佳运行效果。</w:t>
      </w:r>
    </w:p>
    <w:p w14:paraId="6680AA3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（三）乙方提供的服务，若发生侵权而产生的一切后果，由乙方负责。甲方保留索赔权。</w:t>
      </w:r>
    </w:p>
    <w:p w14:paraId="6BBF0F2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（四）服务承诺内容：以响应文件承诺为准。</w:t>
      </w:r>
    </w:p>
    <w:p w14:paraId="0D35093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七、验收</w:t>
      </w:r>
    </w:p>
    <w:p w14:paraId="6746A15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（一）服务内容完成后先由乙方进行自检，自检合格后邀请甲方进行验收。甲方确认乙方的自检内容后，组织乙方进行最终验收，验收时乙方应派人员参加，共同对验收结果进行确认，并承担相关责任。</w:t>
      </w:r>
    </w:p>
    <w:p w14:paraId="5D91F7C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（二）乙方向甲方提交服务实施过程中的所有资料。以便甲方日后管理。 </w:t>
      </w:r>
    </w:p>
    <w:p w14:paraId="0CAD52E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（三）验收依据：</w:t>
      </w:r>
    </w:p>
    <w:p w14:paraId="6619594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1、竞争性磋商文件、响应文件、澄清表（函）；</w:t>
      </w:r>
    </w:p>
    <w:p w14:paraId="7202512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2、本合同及附件文本； </w:t>
      </w:r>
    </w:p>
    <w:p w14:paraId="37C3CED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3、国家相应的标准、规范。</w:t>
      </w:r>
    </w:p>
    <w:p w14:paraId="77A152BB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、违约责任</w:t>
      </w:r>
    </w:p>
    <w:p w14:paraId="3B3E0969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合同中未约定的，按《民法典》中的相关条款执行。</w:t>
      </w:r>
      <w:bookmarkStart w:id="4" w:name="bookmark15"/>
    </w:p>
    <w:p w14:paraId="10B4F106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4"/>
      <w:r>
        <w:rPr>
          <w:rFonts w:hint="eastAsia" w:ascii="仿宋" w:hAnsi="仿宋" w:eastAsia="仿宋" w:cs="仿宋"/>
          <w:sz w:val="24"/>
          <w:lang w:val="zh-TW" w:eastAsia="zh-TW" w:bidi="zh-TW"/>
        </w:rPr>
        <w:t>二）未按合同要求提供服务或服务质量不能满足合同要求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甲方应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当将乙方违约的情况以及拟釆取的措施以书面形式报政府釆购监管</w:t>
      </w:r>
      <w:r>
        <w:rPr>
          <w:rFonts w:hint="eastAsia" w:ascii="仿宋" w:hAnsi="仿宋" w:eastAsia="仿宋" w:cs="仿宋"/>
          <w:sz w:val="24"/>
          <w:lang w:bidi="zh-TW"/>
        </w:rPr>
        <w:t>部门，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根据政府采购监管部门的处理意见，甲方有权依据《民法典》</w:t>
      </w:r>
      <w:r>
        <w:rPr>
          <w:rFonts w:hint="eastAsia" w:ascii="仿宋" w:hAnsi="仿宋" w:eastAsia="仿宋" w:cs="仿宋"/>
          <w:sz w:val="24"/>
          <w:lang w:bidi="zh-TW"/>
        </w:rPr>
        <w:t>有关条款及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合同约定解除合同，乙方应向甲方支付合同总价款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  <w:r>
        <w:rPr>
          <w:rFonts w:hint="eastAsia" w:ascii="仿宋" w:hAnsi="仿宋" w:eastAsia="仿宋" w:cs="仿宋"/>
          <w:sz w:val="24"/>
          <w:lang w:bidi="zh-TW"/>
        </w:rPr>
        <w:t>同时，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政府釆购监管部门有权依据《政府釆购法》及相关法律法规对乙方</w:t>
      </w:r>
      <w:r>
        <w:rPr>
          <w:rFonts w:hint="eastAsia" w:ascii="仿宋" w:hAnsi="仿宋" w:eastAsia="仿宋" w:cs="仿宋"/>
          <w:sz w:val="24"/>
          <w:lang w:val="zh-TW" w:bidi="zh-TW"/>
        </w:rPr>
        <w:t>的</w:t>
      </w:r>
      <w:r>
        <w:rPr>
          <w:rFonts w:hint="eastAsia" w:ascii="仿宋" w:hAnsi="仿宋" w:eastAsia="仿宋" w:cs="仿宋"/>
          <w:sz w:val="24"/>
          <w:lang w:bidi="zh-TW"/>
        </w:rPr>
        <w:t>违法行为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进行相应的处罚。</w:t>
      </w:r>
    </w:p>
    <w:p w14:paraId="06000373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bookmarkStart w:id="5" w:name="bookmark16"/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5"/>
      <w:r>
        <w:rPr>
          <w:rFonts w:hint="eastAsia" w:ascii="仿宋" w:hAnsi="仿宋" w:eastAsia="仿宋" w:cs="仿宋"/>
          <w:sz w:val="24"/>
          <w:lang w:val="zh-TW" w:eastAsia="zh-TW" w:bidi="zh-TW"/>
        </w:rPr>
        <w:t>三）在本合同履行过程中，双方因违约或造成对方经济、</w:t>
      </w:r>
      <w:r>
        <w:rPr>
          <w:rFonts w:hint="eastAsia" w:ascii="仿宋" w:hAnsi="仿宋" w:eastAsia="仿宋" w:cs="仿宋"/>
          <w:sz w:val="24"/>
          <w:lang w:bidi="zh-TW"/>
        </w:rPr>
        <w:t>社会效益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等损失的应当赔偿。</w:t>
      </w:r>
    </w:p>
    <w:p w14:paraId="12A2896E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CN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CN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乙方提供的服务不符合本项目相关文件和本合同规定的，甲方</w:t>
      </w:r>
      <w:r>
        <w:rPr>
          <w:rFonts w:hint="eastAsia" w:ascii="仿宋" w:hAnsi="仿宋" w:eastAsia="仿宋" w:cs="仿宋"/>
          <w:sz w:val="24"/>
          <w:lang w:bidi="zh-TW"/>
        </w:rPr>
        <w:t>有权拒绝，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并且乙方须向甲方支付本合同总价款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ab/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</w:p>
    <w:p w14:paraId="22151561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五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乙方未能按照本合同约定时间提供服务或完成约定的项目服务</w:t>
      </w:r>
      <w:r>
        <w:rPr>
          <w:rFonts w:hint="eastAsia" w:ascii="仿宋" w:hAnsi="仿宋" w:eastAsia="仿宋" w:cs="仿宋"/>
          <w:sz w:val="24"/>
          <w:lang w:bidi="zh-TW"/>
        </w:rPr>
        <w:t>内容的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逾期之日起每日按本合同总价款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%的数额向甲方支付违约</w:t>
      </w:r>
      <w:r>
        <w:rPr>
          <w:rFonts w:hint="eastAsia" w:ascii="仿宋" w:hAnsi="仿宋" w:eastAsia="仿宋" w:cs="仿宋"/>
          <w:sz w:val="24"/>
          <w:lang w:bidi="zh-TW"/>
        </w:rPr>
        <w:t>金；逾期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日以上的，甲方有权终止合同，由此造成的甲方经济损失由</w:t>
      </w:r>
      <w:r>
        <w:rPr>
          <w:rFonts w:hint="eastAsia" w:ascii="仿宋" w:hAnsi="仿宋" w:eastAsia="仿宋" w:cs="仿宋"/>
          <w:sz w:val="24"/>
          <w:lang w:bidi="zh-TW"/>
        </w:rPr>
        <w:t>乙方承担。</w:t>
      </w:r>
    </w:p>
    <w:p w14:paraId="1580B862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六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未经甲方同意，乙方不得擅自将本合同服务分包或转包第三方</w:t>
      </w:r>
      <w:r>
        <w:rPr>
          <w:rFonts w:hint="eastAsia" w:ascii="仿宋" w:hAnsi="仿宋" w:eastAsia="仿宋" w:cs="仿宋"/>
          <w:sz w:val="24"/>
          <w:lang w:bidi="zh-TW"/>
        </w:rPr>
        <w:t>承担。</w:t>
      </w:r>
    </w:p>
    <w:p w14:paraId="61CC92AE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七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本合同中各条款约定的违约金可自甲方未支付款项中直接扣除，违约金若不能弥补甲方损失的，乙方还应赔偿甲方超出部分的损失。</w:t>
      </w:r>
    </w:p>
    <w:p w14:paraId="790F16C5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条款</w:t>
      </w:r>
    </w:p>
    <w:p w14:paraId="6C6635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lang w:bidi="zh-TW"/>
        </w:rPr>
        <w:t>情况，甲方有权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索赔。</w:t>
      </w:r>
    </w:p>
    <w:p w14:paraId="186EE24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77E49A81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影响本条款的效力。</w:t>
      </w:r>
    </w:p>
    <w:p w14:paraId="5E7E6A35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十、争议解决</w:t>
      </w:r>
    </w:p>
    <w:p w14:paraId="4B83529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种方式解决：</w:t>
      </w:r>
    </w:p>
    <w:p w14:paraId="6CE16FA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1、提交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西安仲裁委员会仲裁；</w:t>
      </w:r>
    </w:p>
    <w:p w14:paraId="57A4F1B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甲方所在地人民法院起诉。</w:t>
      </w:r>
    </w:p>
    <w:p w14:paraId="2D24360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效力。</w:t>
      </w:r>
    </w:p>
    <w:p w14:paraId="2A6E374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、合同变更</w:t>
      </w:r>
    </w:p>
    <w:p w14:paraId="1A0B0B8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lang w:bidi="zh-TW"/>
        </w:rPr>
        <w:t>需求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lang w:bidi="zh-TW"/>
        </w:rPr>
        <w:t>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lang w:bidi="zh-TW"/>
        </w:rPr>
        <w:t>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否则视为违约）。</w:t>
      </w:r>
    </w:p>
    <w:p w14:paraId="162533E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、合同生效</w:t>
      </w:r>
    </w:p>
    <w:p w14:paraId="6BA3419F">
      <w:pPr>
        <w:spacing w:after="100"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份,本合同甲、乙各方签字并盖章后生效，</w:t>
      </w:r>
      <w:r>
        <w:rPr>
          <w:rFonts w:hint="eastAsia" w:ascii="仿宋" w:hAnsi="仿宋" w:eastAsia="仿宋" w:cs="仿宋"/>
          <w:sz w:val="24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失效（合同的服务承诺则长期有效）。</w:t>
      </w:r>
    </w:p>
    <w:p w14:paraId="02D51DBF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十三、其他事项</w:t>
      </w:r>
    </w:p>
    <w:p w14:paraId="4724F13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kern w:val="0"/>
          <w:sz w:val="24"/>
        </w:rPr>
        <w:t>西安市财政局</w:t>
      </w:r>
      <w:r>
        <w:rPr>
          <w:rFonts w:hint="eastAsia" w:ascii="仿宋" w:hAnsi="仿宋" w:eastAsia="仿宋" w:cs="仿宋"/>
          <w:sz w:val="24"/>
          <w:lang w:bidi="zh-TW"/>
        </w:rPr>
        <w:t>在合同的履行期间以及履行期后，可以随时检查项目的执行情况，对采购标准、釆购内容进行调查核实，并对发现的问题进行处理。</w:t>
      </w:r>
    </w:p>
    <w:p w14:paraId="690F8F4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竞争性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1C2EF1A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在不可抗力发生后天内书面通知对方，以减轻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66D4AE5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p w14:paraId="4B2F78FD">
      <w:pPr>
        <w:adjustRightInd w:val="0"/>
        <w:spacing w:line="360" w:lineRule="auto"/>
        <w:ind w:left="420" w:right="33"/>
        <w:jc w:val="left"/>
        <w:rPr>
          <w:rFonts w:hint="eastAsia" w:ascii="仿宋" w:hAnsi="仿宋" w:eastAsia="仿宋" w:cs="仿宋"/>
          <w:kern w:val="0"/>
          <w:sz w:val="24"/>
          <w:lang w:val="zh-TW" w:bidi="zh-TW"/>
        </w:rPr>
      </w:pPr>
    </w:p>
    <w:tbl>
      <w:tblPr>
        <w:tblStyle w:val="4"/>
        <w:tblpPr w:leftFromText="181" w:rightFromText="181" w:vertAnchor="text" w:horzAnchor="margin" w:tblpXSpec="center" w:tblpY="24"/>
        <w:tblOverlap w:val="never"/>
        <w:tblW w:w="51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3"/>
        <w:gridCol w:w="4276"/>
      </w:tblGrid>
      <w:tr w14:paraId="2817F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9" w:hRule="atLeast"/>
          <w:jc w:val="center"/>
        </w:trPr>
        <w:tc>
          <w:tcPr>
            <w:tcW w:w="2559" w:type="pct"/>
          </w:tcPr>
          <w:p w14:paraId="19FE737C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2440" w:type="pct"/>
          </w:tcPr>
          <w:p w14:paraId="722583E3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23FBA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559" w:type="pct"/>
            <w:vAlign w:val="center"/>
          </w:tcPr>
          <w:p w14:paraId="0E291FF9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采购人全称</w:t>
            </w:r>
          </w:p>
          <w:p w14:paraId="54382780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2440" w:type="pct"/>
            <w:vAlign w:val="center"/>
          </w:tcPr>
          <w:p w14:paraId="7127F24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3D707EDC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32845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559" w:type="pct"/>
          </w:tcPr>
          <w:p w14:paraId="0C758F9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2440" w:type="pct"/>
          </w:tcPr>
          <w:p w14:paraId="7A49BE70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1901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559" w:type="pct"/>
          </w:tcPr>
          <w:p w14:paraId="6B965A2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2440" w:type="pct"/>
          </w:tcPr>
          <w:p w14:paraId="253C290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70D6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2559" w:type="pct"/>
          </w:tcPr>
          <w:p w14:paraId="4FFCE38F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法定代表人或被授权人（签字或盖章）： </w:t>
            </w:r>
          </w:p>
        </w:tc>
        <w:tc>
          <w:tcPr>
            <w:tcW w:w="2440" w:type="pct"/>
          </w:tcPr>
          <w:p w14:paraId="244BA363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</w:t>
            </w:r>
            <w:bookmarkStart w:id="6" w:name="_GoBack"/>
            <w:bookmarkEnd w:id="6"/>
            <w:r>
              <w:rPr>
                <w:rFonts w:hint="eastAsia" w:ascii="仿宋" w:hAnsi="仿宋" w:eastAsia="仿宋" w:cs="仿宋"/>
                <w:sz w:val="24"/>
              </w:rPr>
              <w:t>字或盖章）：</w:t>
            </w:r>
          </w:p>
        </w:tc>
      </w:tr>
      <w:tr w14:paraId="0A19E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559" w:type="pct"/>
          </w:tcPr>
          <w:p w14:paraId="769D2B6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2440" w:type="pct"/>
          </w:tcPr>
          <w:p w14:paraId="1E3E6981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331B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559" w:type="pct"/>
          </w:tcPr>
          <w:p w14:paraId="330C553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2440" w:type="pct"/>
          </w:tcPr>
          <w:p w14:paraId="0716A386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1769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559" w:type="pct"/>
          </w:tcPr>
          <w:p w14:paraId="181A4844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2440" w:type="pct"/>
          </w:tcPr>
          <w:p w14:paraId="1763D159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7F97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559" w:type="pct"/>
          </w:tcPr>
          <w:p w14:paraId="3215F2AF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2440" w:type="pct"/>
          </w:tcPr>
          <w:p w14:paraId="4CB78D0A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63934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000" w:type="pct"/>
            <w:gridSpan w:val="2"/>
          </w:tcPr>
          <w:p w14:paraId="0D681355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1AE3C166">
      <w:pPr>
        <w:pStyle w:val="6"/>
        <w:rPr>
          <w:rFonts w:hint="eastAsia" w:ascii="仿宋" w:hAnsi="仿宋" w:eastAsia="仿宋" w:cs="仿宋"/>
          <w:lang w:val="en-US" w:eastAsia="zh-Hans"/>
        </w:rPr>
      </w:pPr>
    </w:p>
    <w:p w14:paraId="46290E34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91B0A"/>
    <w:rsid w:val="07B74F40"/>
    <w:rsid w:val="47AF4D11"/>
    <w:rsid w:val="4C365A00"/>
    <w:rsid w:val="5E391B0A"/>
    <w:rsid w:val="6688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Calibri" w:hAnsi="Calibri" w:cs="宋体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2911</Words>
  <Characters>2954</Characters>
  <Lines>0</Lines>
  <Paragraphs>0</Paragraphs>
  <TotalTime>1</TotalTime>
  <ScaleCrop>false</ScaleCrop>
  <LinksUpToDate>false</LinksUpToDate>
  <CharactersWithSpaces>3144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2026-04-02T02:44:00Z</dcterms:created>
  <dc:creator>四方衡裕</dc:creator>
  <cp:lastModifiedBy>四方衡裕</cp:lastModifiedBy>
  <dcterms:modified xsi:type="dcterms:W3CDTF">2026-04-02T02:53:15Z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22A20031F2B945AE95F5B8C8E97838FF_11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