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版本号：DZDL-2026-006Z20260420002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训练比赛场地体育设施购置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DZDL-2026-006Z</w:t>
      </w:r>
      <w:r>
        <w:br/>
      </w:r>
      <w:r>
        <w:br/>
      </w:r>
      <w:r>
        <w:br/>
      </w:r>
    </w:p>
    <w:p>
      <w:pPr>
        <w:pStyle w:val="null3"/>
        <w:jc w:val="center"/>
        <w:outlineLvl w:val="2"/>
      </w:pPr>
      <w:r>
        <w:rPr>
          <w:rFonts w:ascii="仿宋_GB2312" w:hAnsi="仿宋_GB2312" w:cs="仿宋_GB2312" w:eastAsia="仿宋_GB2312"/>
          <w:sz w:val="28"/>
          <w:b/>
        </w:rPr>
        <w:t>西安市举重摔跤柔道运动管理中心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西安市举重摔跤柔道运动管理中心</w:t>
      </w:r>
      <w:r>
        <w:rPr>
          <w:rFonts w:ascii="仿宋_GB2312" w:hAnsi="仿宋_GB2312" w:cs="仿宋_GB2312" w:eastAsia="仿宋_GB2312"/>
        </w:rPr>
        <w:t>委托，拟对</w:t>
      </w:r>
      <w:r>
        <w:rPr>
          <w:rFonts w:ascii="仿宋_GB2312" w:hAnsi="仿宋_GB2312" w:cs="仿宋_GB2312" w:eastAsia="仿宋_GB2312"/>
        </w:rPr>
        <w:t>训练比赛场地体育设施购置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DZDL-2026-006Z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训练比赛场地体育设施购置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本次拟采购一批举重、摔跤、柔道运动设备。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采购包1（训练比赛场地体育设施购置）：属于专门面向中小企业采购。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报告：提供递交投标文件截止之日前两年内任意一个年度经审计的财务报告（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递交投标文件截止之日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信用记录：提供《供应商信用记录书面声明函》，供应商参加本次政府采购活动前三年内在经营活动中没有重大违法记录：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西安市举重摔跤柔道运动管理中心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西安市举重摔跤柔道运动管理中心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西安市举重摔跤柔道运动管理中心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西安市举重摔跤柔道运动管理中心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供货合同、中标供应商投标文件、招标文件及采购人合同履行验收等相关规定。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本次拟采购一批举重、摔跤、柔道运动设备。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2,465,000.00</w:t>
      </w:r>
    </w:p>
    <w:p>
      <w:pPr>
        <w:pStyle w:val="null3"/>
      </w:pPr>
      <w:r>
        <w:rPr>
          <w:rFonts w:ascii="仿宋_GB2312" w:hAnsi="仿宋_GB2312" w:cs="仿宋_GB2312" w:eastAsia="仿宋_GB2312"/>
        </w:rPr>
        <w:t>采购包最高限价（元）: 2,465,000.00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训练比赛场地体育设施购置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标的名称：训练比赛场地体育设施购置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0"/>
              <w:gridCol w:w="246"/>
              <w:gridCol w:w="1681"/>
              <w:gridCol w:w="169"/>
              <w:gridCol w:w="132"/>
              <w:gridCol w:w="213"/>
            </w:tblGrid>
            <w:tr>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是否核心产品</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举重台</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1.尺寸规格：</w:t>
                  </w:r>
                  <w:r>
                    <w:rPr>
                      <w:rFonts w:ascii="仿宋_GB2312" w:hAnsi="仿宋_GB2312" w:cs="仿宋_GB2312" w:eastAsia="仿宋_GB2312"/>
                      <w:sz w:val="21"/>
                    </w:rPr>
                    <w:t>正方形，边长</w:t>
                  </w:r>
                  <w:r>
                    <w:rPr>
                      <w:rFonts w:ascii="仿宋_GB2312" w:hAnsi="仿宋_GB2312" w:cs="仿宋_GB2312" w:eastAsia="仿宋_GB2312"/>
                      <w:sz w:val="21"/>
                    </w:rPr>
                    <w:t>4.0m×4.0m，水平误差不大于2mm/m，确保台面平整。台面离地高度或台面厚度8cm-10cm，尺寸</w:t>
                  </w:r>
                  <w:r>
                    <w:rPr>
                      <w:rFonts w:ascii="仿宋_GB2312" w:hAnsi="仿宋_GB2312" w:cs="仿宋_GB2312" w:eastAsia="仿宋_GB2312"/>
                      <w:sz w:val="21"/>
                    </w:rPr>
                    <w:t>误差≤10mm，</w:t>
                  </w:r>
                  <w:r>
                    <w:rPr>
                      <w:rFonts w:ascii="仿宋_GB2312" w:hAnsi="仿宋_GB2312" w:cs="仿宋_GB2312" w:eastAsia="仿宋_GB2312"/>
                      <w:sz w:val="21"/>
                    </w:rPr>
                    <w:t>整体稳固无晃动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2.边缘要求：</w:t>
                  </w:r>
                  <w:r>
                    <w:rPr>
                      <w:rFonts w:ascii="仿宋_GB2312" w:hAnsi="仿宋_GB2312" w:cs="仿宋_GB2312" w:eastAsia="仿宋_GB2312"/>
                      <w:sz w:val="21"/>
                    </w:rPr>
                    <w:t>台面四周设置</w:t>
                  </w:r>
                  <w:r>
                    <w:rPr>
                      <w:rFonts w:ascii="仿宋_GB2312" w:hAnsi="仿宋_GB2312" w:cs="仿宋_GB2312" w:eastAsia="仿宋_GB2312"/>
                      <w:sz w:val="21"/>
                    </w:rPr>
                    <w:t>10cm宽明显色带，颜色与台面主体颜色区分清晰，便于赛事判罚识别。</w:t>
                  </w:r>
                </w:p>
                <w:p>
                  <w:pPr>
                    <w:pStyle w:val="null3"/>
                    <w:jc w:val="left"/>
                  </w:pPr>
                  <w:r>
                    <w:rPr>
                      <w:rFonts w:ascii="仿宋_GB2312" w:hAnsi="仿宋_GB2312" w:cs="仿宋_GB2312" w:eastAsia="仿宋_GB2312"/>
                      <w:sz w:val="21"/>
                      <w:b/>
                    </w:rPr>
                    <w:t>3.材质与结构：</w:t>
                  </w:r>
                  <w:r>
                    <w:rPr>
                      <w:rFonts w:ascii="仿宋_GB2312" w:hAnsi="仿宋_GB2312" w:cs="仿宋_GB2312" w:eastAsia="仿宋_GB2312"/>
                      <w:sz w:val="21"/>
                    </w:rPr>
                    <w:t>台面采用高硬度实木或多层复合专业竞赛板，表面防滑、耐磨、抗冲击；整体框架刚性强，承载能力</w:t>
                  </w:r>
                  <w:r>
                    <w:rPr>
                      <w:rFonts w:ascii="仿宋_GB2312" w:hAnsi="仿宋_GB2312" w:cs="仿宋_GB2312" w:eastAsia="仿宋_GB2312"/>
                      <w:sz w:val="21"/>
                    </w:rPr>
                    <w:t>≥700kg，落地稳定不位移。</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.安全要求：</w:t>
                  </w:r>
                  <w:r>
                    <w:rPr>
                      <w:rFonts w:ascii="仿宋_GB2312" w:hAnsi="仿宋_GB2312" w:cs="仿宋_GB2312" w:eastAsia="仿宋_GB2312"/>
                      <w:sz w:val="21"/>
                    </w:rPr>
                    <w:t>台面四周无尖锐棱角，底部做防滑处理，避免使用过程中发生磕碰、滑倒等安全事故。</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摔跤场地</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总体要求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规格要求：</w:t>
                  </w:r>
                  <w:r>
                    <w:rPr>
                      <w:rFonts w:ascii="仿宋_GB2312" w:hAnsi="仿宋_GB2312" w:cs="仿宋_GB2312" w:eastAsia="仿宋_GB2312"/>
                      <w:sz w:val="21"/>
                    </w:rPr>
                    <w:t>12m×12m正方形，尺寸误差不超过±5mm，确保场地规格符合竞赛标准。</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厚度要求：整体厚度</w:t>
                  </w:r>
                  <w:r>
                    <w:rPr>
                      <w:rFonts w:ascii="仿宋_GB2312" w:hAnsi="仿宋_GB2312" w:cs="仿宋_GB2312" w:eastAsia="仿宋_GB2312"/>
                      <w:sz w:val="21"/>
                    </w:rPr>
                    <w:t>50mm-70mm，厚度均匀，误差≤2mm。</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结构要求：采用拼接式结构，连接牢固，比赛过程中不移位、不开缝，能够适应高强度竞赛使用需求。</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区域划分要求</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区域尺寸：中心圆直径</w:t>
                  </w:r>
                  <w:r>
                    <w:rPr>
                      <w:rFonts w:ascii="仿宋_GB2312" w:hAnsi="仿宋_GB2312" w:cs="仿宋_GB2312" w:eastAsia="仿宋_GB2312"/>
                      <w:sz w:val="21"/>
                    </w:rPr>
                    <w:t>1.0m，中央比赛区直径7.0m，消极区环形宽度1.0m，保护区外围宽度1.5m，尺寸误差符合</w:t>
                  </w:r>
                  <w:r>
                    <w:rPr>
                      <w:rFonts w:ascii="仿宋_GB2312" w:hAnsi="仿宋_GB2312" w:cs="仿宋_GB2312" w:eastAsia="仿宋_GB2312"/>
                      <w:sz w:val="21"/>
                    </w:rPr>
                    <w:t>竞赛</w:t>
                  </w:r>
                  <w:r>
                    <w:rPr>
                      <w:rFonts w:ascii="仿宋_GB2312" w:hAnsi="仿宋_GB2312" w:cs="仿宋_GB2312" w:eastAsia="仿宋_GB2312"/>
                      <w:sz w:val="21"/>
                    </w:rPr>
                    <w:t>标准。</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颜色要求：中心圆采用专用蓝色，中央比赛区采用主蓝色，消极区采用橙色，保护区采用蓝色，颜色鲜明、均匀。</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标识要求：所有区域边界线条清晰、耐磨、不脱落、不褪色。</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柔道场地</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规格要求</w:t>
                  </w:r>
                </w:p>
                <w:p>
                  <w:pPr>
                    <w:pStyle w:val="null3"/>
                    <w:jc w:val="left"/>
                  </w:pPr>
                  <w:r>
                    <w:rPr>
                      <w:rFonts w:ascii="仿宋_GB2312" w:hAnsi="仿宋_GB2312" w:cs="仿宋_GB2312" w:eastAsia="仿宋_GB2312"/>
                      <w:sz w:val="21"/>
                    </w:rPr>
                    <w:t>1.1单套场地（</w:t>
                  </w:r>
                  <w:r>
                    <w:rPr>
                      <w:rFonts w:ascii="仿宋_GB2312" w:hAnsi="仿宋_GB2312" w:cs="仿宋_GB2312" w:eastAsia="仿宋_GB2312"/>
                      <w:sz w:val="21"/>
                    </w:rPr>
                    <w:t>含保护区</w:t>
                  </w:r>
                  <w:r>
                    <w:rPr>
                      <w:rFonts w:ascii="仿宋_GB2312" w:hAnsi="仿宋_GB2312" w:cs="仿宋_GB2312" w:eastAsia="仿宋_GB2312"/>
                      <w:sz w:val="21"/>
                    </w:rPr>
                    <w:t>）规格：</w:t>
                  </w:r>
                  <w:r>
                    <w:rPr>
                      <w:rFonts w:ascii="仿宋_GB2312" w:hAnsi="仿宋_GB2312" w:cs="仿宋_GB2312" w:eastAsia="仿宋_GB2312"/>
                      <w:sz w:val="21"/>
                    </w:rPr>
                    <w:t>18m×18m</w:t>
                  </w:r>
                  <w:r>
                    <w:rPr>
                      <w:rFonts w:ascii="仿宋_GB2312" w:hAnsi="仿宋_GB2312" w:cs="仿宋_GB2312" w:eastAsia="仿宋_GB2312"/>
                      <w:sz w:val="21"/>
                    </w:rPr>
                    <w:t>，尺寸误差符合竞赛标准。</w:t>
                  </w:r>
                  <w:r>
                    <w:br/>
                  </w:r>
                  <w:r>
                    <w:rPr>
                      <w:rFonts w:ascii="仿宋_GB2312" w:hAnsi="仿宋_GB2312" w:cs="仿宋_GB2312" w:eastAsia="仿宋_GB2312"/>
                      <w:sz w:val="21"/>
                    </w:rPr>
                    <w:t>1.2厚度要求：采用竞赛级标准，厚度50mm，误差≤2mm，整体厚度均匀一致，确保缓冲性能达标。</w:t>
                  </w:r>
                </w:p>
                <w:p>
                  <w:pPr>
                    <w:pStyle w:val="null3"/>
                    <w:jc w:val="left"/>
                  </w:pPr>
                  <w:r>
                    <w:rPr>
                      <w:rFonts w:ascii="仿宋_GB2312" w:hAnsi="仿宋_GB2312" w:cs="仿宋_GB2312" w:eastAsia="仿宋_GB2312"/>
                      <w:sz w:val="21"/>
                    </w:rPr>
                    <w:t>1.3认证要求：必须为IJF官方认证场地，拼接紧密、无绊脚隐患，垫面平整无凹凸、无褶皱。</w:t>
                  </w:r>
                </w:p>
                <w:p>
                  <w:pPr>
                    <w:pStyle w:val="null3"/>
                    <w:jc w:val="left"/>
                  </w:pPr>
                  <w:r>
                    <w:rPr>
                      <w:rFonts w:ascii="仿宋_GB2312" w:hAnsi="仿宋_GB2312" w:cs="仿宋_GB2312" w:eastAsia="仿宋_GB2312"/>
                      <w:sz w:val="21"/>
                    </w:rPr>
                    <w:t>1.4拼接要求：至少由3块垫子拼接组成，拼接处无间隙、无高度差，连接牢固，比赛过程中不移位、不翘边。</w:t>
                  </w:r>
                </w:p>
                <w:p>
                  <w:pPr>
                    <w:pStyle w:val="null3"/>
                    <w:jc w:val="left"/>
                  </w:pPr>
                  <w:r>
                    <w:rPr>
                      <w:rFonts w:ascii="仿宋_GB2312" w:hAnsi="仿宋_GB2312" w:cs="仿宋_GB2312" w:eastAsia="仿宋_GB2312"/>
                      <w:sz w:val="21"/>
                      <w:b/>
                    </w:rPr>
                    <w:t>2.区域与颜色要求</w:t>
                  </w:r>
                </w:p>
                <w:p>
                  <w:pPr>
                    <w:pStyle w:val="null3"/>
                    <w:jc w:val="left"/>
                  </w:pPr>
                  <w:r>
                    <w:rPr>
                      <w:rFonts w:ascii="仿宋_GB2312" w:hAnsi="仿宋_GB2312" w:cs="仿宋_GB2312" w:eastAsia="仿宋_GB2312"/>
                      <w:sz w:val="21"/>
                    </w:rPr>
                    <w:t>2.1颜色标准：比赛区采用标准黄色，保护区采用标准红色，颜色均匀、鲜明，不混色、不渗色、不褪色。</w:t>
                  </w:r>
                </w:p>
                <w:p>
                  <w:pPr>
                    <w:pStyle w:val="null3"/>
                    <w:jc w:val="left"/>
                  </w:pPr>
                  <w:r>
                    <w:rPr>
                      <w:rFonts w:ascii="仿宋_GB2312" w:hAnsi="仿宋_GB2312" w:cs="仿宋_GB2312" w:eastAsia="仿宋_GB2312"/>
                      <w:sz w:val="21"/>
                    </w:rPr>
                    <w:t>2.2边界要求：比赛区与保护区边界清晰，线条耐磨、不脱落。</w:t>
                  </w:r>
                </w:p>
                <w:p>
                  <w:pPr>
                    <w:pStyle w:val="null3"/>
                    <w:jc w:val="left"/>
                  </w:pPr>
                  <w:r>
                    <w:rPr>
                      <w:rFonts w:ascii="仿宋_GB2312" w:hAnsi="仿宋_GB2312" w:cs="仿宋_GB2312" w:eastAsia="仿宋_GB2312"/>
                      <w:sz w:val="21"/>
                      <w:b/>
                    </w:rPr>
                    <w:t>3.性能要求</w:t>
                  </w:r>
                </w:p>
                <w:p>
                  <w:pPr>
                    <w:pStyle w:val="null3"/>
                    <w:jc w:val="left"/>
                  </w:pPr>
                  <w:r>
                    <w:rPr>
                      <w:rFonts w:ascii="仿宋_GB2312" w:hAnsi="仿宋_GB2312" w:cs="仿宋_GB2312" w:eastAsia="仿宋_GB2312"/>
                      <w:sz w:val="21"/>
                    </w:rPr>
                    <w:t>3.1表面性能：采用榻榻米或等效防滑材质，表面平整无翘起，固定坚实，不勾丝。</w:t>
                  </w:r>
                </w:p>
                <w:p>
                  <w:pPr>
                    <w:pStyle w:val="null3"/>
                    <w:jc w:val="left"/>
                  </w:pPr>
                  <w:r>
                    <w:rPr>
                      <w:rFonts w:ascii="仿宋_GB2312" w:hAnsi="仿宋_GB2312" w:cs="仿宋_GB2312" w:eastAsia="仿宋_GB2312"/>
                      <w:sz w:val="21"/>
                    </w:rPr>
                    <w:t>3.2吸震性能：吸震性能优异，无明显回弹。</w:t>
                  </w:r>
                </w:p>
                <w:p>
                  <w:pPr>
                    <w:pStyle w:val="null3"/>
                    <w:jc w:val="left"/>
                  </w:pPr>
                  <w:r>
                    <w:rPr>
                      <w:rFonts w:ascii="仿宋_GB2312" w:hAnsi="仿宋_GB2312" w:cs="仿宋_GB2312" w:eastAsia="仿宋_GB2312"/>
                      <w:sz w:val="21"/>
                    </w:rPr>
                    <w:t>3.3其他性能：具备防滑、耐磨、抗撕扯特性，防水、易清洁、阻燃、抗老化，无刺激性异味，环保无毒。</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防滑防潮垫架</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b/>
                    </w:rPr>
                    <w:t>1.基本尺寸</w:t>
                  </w:r>
                </w:p>
                <w:p>
                  <w:pPr>
                    <w:pStyle w:val="null3"/>
                    <w:ind w:left="420"/>
                    <w:jc w:val="both"/>
                  </w:pPr>
                  <w:r>
                    <w:rPr>
                      <w:rFonts w:ascii="仿宋_GB2312" w:hAnsi="仿宋_GB2312" w:cs="仿宋_GB2312" w:eastAsia="仿宋_GB2312"/>
                      <w:sz w:val="21"/>
                    </w:rPr>
                    <w:t>1.1单块模块：500×500mm</w:t>
                  </w:r>
                </w:p>
                <w:p>
                  <w:pPr>
                    <w:pStyle w:val="null3"/>
                    <w:ind w:left="420"/>
                    <w:jc w:val="both"/>
                  </w:pPr>
                  <w:r>
                    <w:rPr>
                      <w:rFonts w:ascii="仿宋_GB2312" w:hAnsi="仿宋_GB2312" w:cs="仿宋_GB2312" w:eastAsia="仿宋_GB2312"/>
                      <w:sz w:val="21"/>
                    </w:rPr>
                    <w:t>1.2整体高度：20–25mm</w:t>
                  </w:r>
                </w:p>
                <w:p>
                  <w:pPr>
                    <w:pStyle w:val="null3"/>
                    <w:ind w:left="420"/>
                    <w:jc w:val="both"/>
                  </w:pPr>
                  <w:r>
                    <w:rPr>
                      <w:rFonts w:ascii="仿宋_GB2312" w:hAnsi="仿宋_GB2312" w:cs="仿宋_GB2312" w:eastAsia="仿宋_GB2312"/>
                      <w:sz w:val="21"/>
                    </w:rPr>
                    <w:t>1.3拼接方式：四面卡扣互锁（一体稳固、无缝隙）</w:t>
                  </w:r>
                </w:p>
                <w:p>
                  <w:pPr>
                    <w:pStyle w:val="null3"/>
                    <w:ind w:left="420"/>
                    <w:jc w:val="both"/>
                  </w:pPr>
                  <w:r>
                    <w:rPr>
                      <w:rFonts w:ascii="仿宋_GB2312" w:hAnsi="仿宋_GB2312" w:cs="仿宋_GB2312" w:eastAsia="仿宋_GB2312"/>
                      <w:sz w:val="21"/>
                      <w:b/>
                    </w:rPr>
                    <w:t>2.核心性能参数</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2.1冲击吸收：≥30%</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抗滑值（</w:t>
                  </w:r>
                  <w:r>
                    <w:rPr>
                      <w:rFonts w:ascii="仿宋_GB2312" w:hAnsi="仿宋_GB2312" w:cs="仿宋_GB2312" w:eastAsia="仿宋_GB2312"/>
                      <w:sz w:val="21"/>
                    </w:rPr>
                    <w:t>20℃）：80-110BPN</w:t>
                  </w:r>
                  <w:r>
                    <w:rPr>
                      <w:rFonts w:ascii="仿宋_GB2312" w:hAnsi="仿宋_GB2312" w:cs="仿宋_GB2312" w:eastAsia="仿宋_GB2312"/>
                      <w:sz w:val="21"/>
                    </w:rPr>
                    <w:t>；</w:t>
                  </w:r>
                  <w:r>
                    <w:rPr>
                      <w:rFonts w:ascii="仿宋_GB2312" w:hAnsi="仿宋_GB2312" w:cs="仿宋_GB2312" w:eastAsia="仿宋_GB2312"/>
                      <w:sz w:val="21"/>
                    </w:rPr>
                    <w:t>抗滑值（湿测）</w:t>
                  </w:r>
                  <w:r>
                    <w:rPr>
                      <w:rFonts w:ascii="仿宋_GB2312" w:hAnsi="仿宋_GB2312" w:cs="仿宋_GB2312" w:eastAsia="仿宋_GB2312"/>
                      <w:sz w:val="21"/>
                    </w:rPr>
                    <w:t>：</w:t>
                  </w:r>
                  <w:r>
                    <w:rPr>
                      <w:rFonts w:ascii="仿宋_GB2312" w:hAnsi="仿宋_GB2312" w:cs="仿宋_GB2312" w:eastAsia="仿宋_GB2312"/>
                      <w:sz w:val="21"/>
                    </w:rPr>
                    <w:t>47-110</w:t>
                  </w:r>
                  <w:r>
                    <w:rPr>
                      <w:rFonts w:ascii="仿宋_GB2312" w:hAnsi="仿宋_GB2312" w:cs="仿宋_GB2312" w:eastAsia="仿宋_GB2312"/>
                      <w:sz w:val="21"/>
                    </w:rPr>
                    <w:t xml:space="preserve"> </w:t>
                  </w:r>
                  <w:r>
                    <w:rPr>
                      <w:rFonts w:ascii="仿宋_GB2312" w:hAnsi="仿宋_GB2312" w:cs="仿宋_GB2312" w:eastAsia="仿宋_GB2312"/>
                      <w:sz w:val="21"/>
                    </w:rPr>
                    <w:t>BPN</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防潮特性：</w:t>
                  </w:r>
                  <w:r>
                    <w:rPr>
                      <w:rFonts w:ascii="仿宋_GB2312" w:hAnsi="仿宋_GB2312" w:cs="仿宋_GB2312" w:eastAsia="仿宋_GB2312"/>
                      <w:sz w:val="21"/>
                    </w:rPr>
                    <w:t>无长霉</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2.5环保：</w:t>
                  </w:r>
                  <w:r>
                    <w:rPr>
                      <w:rFonts w:ascii="仿宋_GB2312" w:hAnsi="仿宋_GB2312" w:cs="仿宋_GB2312" w:eastAsia="仿宋_GB2312"/>
                      <w:sz w:val="21"/>
                    </w:rPr>
                    <w:t>甲苯、二甲苯和乙苯总和</w:t>
                  </w:r>
                  <w:r>
                    <w:rPr>
                      <w:rFonts w:ascii="仿宋_GB2312" w:hAnsi="仿宋_GB2312" w:cs="仿宋_GB2312" w:eastAsia="仿宋_GB2312"/>
                      <w:sz w:val="21"/>
                    </w:rPr>
                    <w:t>≤1.0mg/(m².h)；气味等级≤3级；可溶性铬含量≤10mg/kg；可溶性铅含量≤50mg/kg</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2.7阻燃：达到B1级及以上</w:t>
                  </w:r>
                </w:p>
                <w:p>
                  <w:pPr>
                    <w:pStyle w:val="null3"/>
                    <w:ind w:left="420"/>
                    <w:jc w:val="both"/>
                  </w:pPr>
                  <w:r>
                    <w:rPr>
                      <w:rFonts w:ascii="仿宋_GB2312" w:hAnsi="仿宋_GB2312" w:cs="仿宋_GB2312" w:eastAsia="仿宋_GB2312"/>
                      <w:sz w:val="21"/>
                      <w:b/>
                    </w:rPr>
                    <w:t>3.结构剖面</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1上层：防滑面（3mm 防滑纹）</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2中层：双层镂空栅格（15mm 通风层）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3下层：支撑脚+加强筋（2–5mm）</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4边缘：一体注塑卡扣（拼接强度≥主体）</w:t>
                  </w:r>
                </w:p>
                <w:p>
                  <w:pPr>
                    <w:pStyle w:val="null3"/>
                    <w:ind w:left="420"/>
                    <w:jc w:val="both"/>
                  </w:pPr>
                  <w:r>
                    <w:rPr>
                      <w:rFonts w:ascii="仿宋_GB2312" w:hAnsi="仿宋_GB2312" w:cs="仿宋_GB2312" w:eastAsia="仿宋_GB2312"/>
                      <w:sz w:val="21"/>
                      <w:b/>
                    </w:rPr>
                    <w:t>4</w:t>
                  </w:r>
                  <w:r>
                    <w:rPr>
                      <w:rFonts w:ascii="仿宋_GB2312" w:hAnsi="仿宋_GB2312" w:cs="仿宋_GB2312" w:eastAsia="仿宋_GB2312"/>
                      <w:sz w:val="21"/>
                      <w:b/>
                    </w:rPr>
                    <w:t>.配套边框</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1边框尺寸：500×80×45mm</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2角框：90°圆角（防撞击、防垫子外翻）</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3功能：固定边界、防止侧滑、界定比赛区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举重项目青少年体育竞赛电子器材</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1、系统符合国际举重协会最新比赛规则，可应用于各类举重比赛。</w:t>
                  </w:r>
                </w:p>
                <w:p>
                  <w:pPr>
                    <w:pStyle w:val="null3"/>
                    <w:jc w:val="left"/>
                  </w:pPr>
                  <w:r>
                    <w:rPr>
                      <w:rFonts w:ascii="仿宋_GB2312" w:hAnsi="仿宋_GB2312" w:cs="仿宋_GB2312" w:eastAsia="仿宋_GB2312"/>
                      <w:sz w:val="21"/>
                    </w:rPr>
                    <w:t>2、整套配置：举重时间控制器1套、前场计时灯光显示牌1套、后场计时灯光显示牌1套、裁判控制器3套、仲裁监控器1套、仲裁判决系统1套、15㎡全彩LED成绩显示屏（含框架）1套、操作控制电脑1台、55寸电视机（含支架）4套、网线、电缆线、信号线等1批。</w:t>
                  </w:r>
                </w:p>
                <w:p>
                  <w:pPr>
                    <w:pStyle w:val="null3"/>
                    <w:jc w:val="left"/>
                  </w:pPr>
                  <w:r>
                    <w:rPr>
                      <w:rFonts w:ascii="仿宋_GB2312" w:hAnsi="仿宋_GB2312" w:cs="仿宋_GB2312" w:eastAsia="仿宋_GB2312"/>
                      <w:sz w:val="21"/>
                    </w:rPr>
                    <w:t>3、硬件主要包括：记时模块、裁判员判罚模块、数据采集模块、显示模块等。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摔跤项目青少年体育竞赛电子器材</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1、系统符合国际摔跤协会最新比赛规则，可应用于各类摔跤比赛。可进行得分，比赛时间，级别，场次，参赛队别，运动员姓名等各种比赛信息的实时显示，操作简单方便 ，显示清晰，准确，实时控制迅速，工作稳定可靠。</w:t>
                  </w:r>
                </w:p>
                <w:p>
                  <w:pPr>
                    <w:pStyle w:val="null3"/>
                    <w:jc w:val="left"/>
                  </w:pPr>
                  <w:r>
                    <w:rPr>
                      <w:rFonts w:ascii="仿宋_GB2312" w:hAnsi="仿宋_GB2312" w:cs="仿宋_GB2312" w:eastAsia="仿宋_GB2312"/>
                      <w:sz w:val="21"/>
                    </w:rPr>
                    <w:t>2、整套配置：</w:t>
                  </w:r>
                  <w:r>
                    <w:rPr>
                      <w:rFonts w:ascii="仿宋_GB2312" w:hAnsi="仿宋_GB2312" w:cs="仿宋_GB2312" w:eastAsia="仿宋_GB2312"/>
                      <w:sz w:val="21"/>
                    </w:rPr>
                    <w:t>55寸液晶电视机2台、笔记本电脑1台、HDMI视频转换器1套、HDMI 延长器2套、HDMI线</w:t>
                  </w:r>
                  <w:r>
                    <w:rPr>
                      <w:rFonts w:ascii="仿宋_GB2312" w:hAnsi="仿宋_GB2312" w:cs="仿宋_GB2312" w:eastAsia="仿宋_GB2312"/>
                      <w:sz w:val="21"/>
                    </w:rPr>
                    <w:t>5根、</w:t>
                  </w:r>
                  <w:r>
                    <w:rPr>
                      <w:rFonts w:ascii="仿宋_GB2312" w:hAnsi="仿宋_GB2312" w:cs="仿宋_GB2312" w:eastAsia="仿宋_GB2312"/>
                      <w:sz w:val="21"/>
                    </w:rPr>
                    <w:t>网线</w:t>
                  </w:r>
                  <w:r>
                    <w:rPr>
                      <w:rFonts w:ascii="仿宋_GB2312" w:hAnsi="仿宋_GB2312" w:cs="仿宋_GB2312" w:eastAsia="仿宋_GB2312"/>
                      <w:sz w:val="21"/>
                    </w:rPr>
                    <w:t>2根、交换机1台、音响1台、摔跤计时记分系统软件1套、摄像机2台、回放笔记本1台、HDMI TO SDI 转换器2套、SDI 线2根、视频回放控制器1台、仲裁录像系统软件1套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柔道项目青少年体育竞赛电子器材</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1、系统符合国际柔道协会的最新比赛规则，可进行比赛时间的计时，压技时间的计时，比赛双方的得分控制、处罚和一本的显示等。还可显示比赛场次、比赛级别、轮次、参赛队名、运动员姓名信息等。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整套配置：</w:t>
                  </w:r>
                  <w:r>
                    <w:rPr>
                      <w:rFonts w:ascii="仿宋_GB2312" w:hAnsi="仿宋_GB2312" w:cs="仿宋_GB2312" w:eastAsia="仿宋_GB2312"/>
                      <w:sz w:val="21"/>
                    </w:rPr>
                    <w:t>计时控制器</w:t>
                  </w:r>
                  <w:r>
                    <w:rPr>
                      <w:rFonts w:ascii="仿宋_GB2312" w:hAnsi="仿宋_GB2312" w:cs="仿宋_GB2312" w:eastAsia="仿宋_GB2312"/>
                      <w:sz w:val="21"/>
                    </w:rPr>
                    <w:t>1台、笔记本电脑1台、55寸液晶电视机2台、USB 转232 串口 线1根、HDMI视频转换器1套、HDMI 延长器2套、交换机1台、音响1台、HDMI线</w:t>
                  </w:r>
                  <w:r>
                    <w:rPr>
                      <w:rFonts w:ascii="仿宋_GB2312" w:hAnsi="仿宋_GB2312" w:cs="仿宋_GB2312" w:eastAsia="仿宋_GB2312"/>
                      <w:sz w:val="21"/>
                    </w:rPr>
                    <w:t>5根、</w:t>
                  </w:r>
                  <w:r>
                    <w:rPr>
                      <w:rFonts w:ascii="仿宋_GB2312" w:hAnsi="仿宋_GB2312" w:cs="仿宋_GB2312" w:eastAsia="仿宋_GB2312"/>
                      <w:sz w:val="21"/>
                    </w:rPr>
                    <w:t>网线</w:t>
                  </w:r>
                  <w:r>
                    <w:rPr>
                      <w:rFonts w:ascii="仿宋_GB2312" w:hAnsi="仿宋_GB2312" w:cs="仿宋_GB2312" w:eastAsia="仿宋_GB2312"/>
                      <w:sz w:val="21"/>
                    </w:rPr>
                    <w:t>2根、柔道计时记分系统软件1套、摄像机2台、回放笔记本1台、HDMI TO SDI 转换器2套、SDI 线2根、视频回放控制器1台、仲裁录像系统软件1套。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供货产品、安装及其相关伴随服务等须达到国家、行业及采购人要求标准。 具体以供货合同、中标供应商投标文件、招标文件及采购人合同履行验收等相关规定为准。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范围为供货范围内的所有产品，包括但不限于产品本身、硬件、软件及其他配件。质保期为验收合格之日起1年。质保期内，发生质量问题，乙方自接到甲方通知后，1小时内响应，应于4小时内派出专业的维修人员到现场进行检测维修，12小时内完成修复，发生的全部费用由乙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根据《国务院办公厅关于在政府采购中实施本国产品标准及相关政策的通知》（国办发〔2025〕34号）的规定，3.5.1.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3.5.2中国境内生产的组件成本核算基本规则：产品在中国境内生产的组件成本，一般按照其二级组件的相关成本进行核算。按照产品的一级组件进行成本核算能够满足中国境内生产的组件成本判定需求的，可以按照一级组件的相关成本进行核算。①产品的一级组件是指直接组成产品的组件。产品的二级组件是指直接组成产品一级组件的组件。一级组件不可分解的，视同二级组件。②二级组件在中国境内生产的，其全部成本计入中国境内生产的组件成本；二级组件不在中国境内生产的，其成本不计入中国境内生产的组件成本。③产品总成本和组件成本以相关会计核算数据、采购合同、进货记录等为基础进行计算。④需要对成本核算规则予以进一步明确的其他有关事项，由财政部会同有关部门另行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递交投标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参加本次政府采购活动前三年内在经营活动中没有重大违法记录：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同时满足以下条款：（1）货币单位符合招标文件要求（2）报价符合唯一性要求（3）未超出采购预算或最高限价（4）符合《开标一览表》、《标的清单》及《分项报价表》的填报要求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投标文件的签章均符合招标文件要求，且无遗漏。</w:t>
            </w:r>
          </w:p>
        </w:tc>
        <w:tc>
          <w:tcPr>
            <w:tcW w:type="dxa" w:w="1661"/>
          </w:tcPr>
          <w:p>
            <w:pPr>
              <w:pStyle w:val="null3"/>
            </w:pPr>
            <w:r>
              <w:rPr>
                <w:rFonts w:ascii="仿宋_GB2312" w:hAnsi="仿宋_GB2312" w:cs="仿宋_GB2312" w:eastAsia="仿宋_GB2312"/>
              </w:rPr>
              <w:t>开标一览表 分项报价表.docx 投标函 合同文本条款响应.docx 标的清单 投标文件封面 资格证明文件.docx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符合招标文件的要求，不少于90日历天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商务应答表 进货渠道证明.docx 供货服务方案.docx 资格证明文件.docx 供应商承诺书.docx 质保及售后服务方案.docx 产品技术参数表 分项报价表.docx 投标函 合同文本条款响应.docx 残疾人福利性单位声明函 标的清单 投标文件封面 监狱企业的证明文件 类似项目业绩汇总表.docx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供应商提供的核心产品（防滑防潮垫架）质量控制指标（标记为“▲”的指标）完全满足且无负偏离并提供证明材料佐证得2分，最高得8分，如有负偏离或未提供证明材料不得分。 注：提供经制造商签章的证明材料，包括但不限于国家认可的检测机构出具的检测报告、制造商产品说明书、技术白皮书、产品官网说明等。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供应商提供的柔道场地、摔跤场地及举重台具备国家体育用品质量检验检测中心或其他第三方检验检测机构出具的CMA或CNAS标识的检验（或检测）报告，每提供一种得3分，满分9分。注：以加盖供应商公章的CMA或CNAS标识的检验（或检测）报告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国际认证</w:t>
            </w:r>
          </w:p>
        </w:tc>
        <w:tc>
          <w:tcPr>
            <w:tcW w:type="dxa" w:w="2492"/>
          </w:tcPr>
          <w:p>
            <w:pPr>
              <w:pStyle w:val="null3"/>
            </w:pPr>
            <w:r>
              <w:rPr>
                <w:rFonts w:ascii="仿宋_GB2312" w:hAnsi="仿宋_GB2312" w:cs="仿宋_GB2312" w:eastAsia="仿宋_GB2312"/>
              </w:rPr>
              <w:t>供应商提供的柔道场地、摔跤场地及举重台通过国际单项体育联合会官方认证的，每提供一种得2分，满分6分。注：以加盖供应商公章的国际单项体育联合会官方认证（IJF、UWW 、IWF）且在有效期内的证书扫描件为准。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针对本项目提供完整的项目实施方案。内容包含：①项目总实施计划②供货组织及运输配送③人力调配及资源保障措施。 二、评审标准 1、完整性：方案须全面，对评审内容中的各项要求有详细描述； 2、可实施性：切合本项目实际情况，实施步骤清晰、合理； 3、针对性：方案能够紧扣项目实际情况， 内容科学合理。 三、赋分依据（满分9分） 每个评审项（①项目总实施计划②供货组织及运输配送③人力调配及资源保障措施）每完全满足一个评审标准得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根据本项目实际需求，提供质量保证方案。内容包含：①质量目标②设计、工艺、加工、检验能力③质量保证措施。 二、评审标准 1、完整性：方案须全面，对评审内容中的各项要求有详细描述； 2、可实施性：切合本项目实际情况，实施步骤清晰、合理； 3、针对性：方案能够紧扣项目实际情况， 内容科学合理。 三、赋分依据（满分9分） 以上每个评审项（①质量目标②设计、工艺、加工、检验能力③质量保证措施）每完全满足一个评审标准得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根据本项目实际需求提供售后服务方案。内容包含：①售后服务范围②响应时间及方式③故障处理及补救措施④售后服务承诺。 二、评审标准 1.完整性：方案必须全面，对评审内容中的各项要求有详细描述； 2.可实施性：切合本项目实际情况，实施步骤清晰、合理； 3.针对性：方案能够紧扣项目实际情况，内容科学合理。 三、赋分依据（满分12分） 以上每个评审项（①售后服务范围②响应时间及方式③故障处理及补救措施④售后服务承诺）每完全满足一个评审标准得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质保及售后服务方案.docx</w:t>
            </w:r>
          </w:p>
        </w:tc>
      </w:tr>
      <w:tr>
        <w:tc>
          <w:tcPr>
            <w:tcW w:type="dxa" w:w="831"/>
            <w:vMerge/>
          </w:tcPr>
          <w:p/>
        </w:tc>
        <w:tc>
          <w:tcPr>
            <w:tcW w:type="dxa" w:w="1661"/>
          </w:tcPr>
          <w:p>
            <w:pPr>
              <w:pStyle w:val="null3"/>
            </w:pPr>
            <w:r>
              <w:rPr>
                <w:rFonts w:ascii="仿宋_GB2312" w:hAnsi="仿宋_GB2312" w:cs="仿宋_GB2312" w:eastAsia="仿宋_GB2312"/>
              </w:rPr>
              <w:t>货源</w:t>
            </w:r>
          </w:p>
        </w:tc>
        <w:tc>
          <w:tcPr>
            <w:tcW w:type="dxa" w:w="2492"/>
          </w:tcPr>
          <w:p>
            <w:pPr>
              <w:pStyle w:val="null3"/>
            </w:pPr>
            <w:r>
              <w:rPr>
                <w:rFonts w:ascii="仿宋_GB2312" w:hAnsi="仿宋_GB2312" w:cs="仿宋_GB2312" w:eastAsia="仿宋_GB2312"/>
              </w:rPr>
              <w:t>产品货源渠道正规、供应充足，产地及制造商明确，产品销售记录可追溯。能够提供加盖制造商或制造商授权的一级代理商公章的合格有效的授权文件的，每种产品得0.5分，最高得3.5分；能提供加盖制造商公章的原厂售后承诺书的，每种产品得0.5分，满分3.5分。未提供不得分。满分7分。 注：1.一级代理商指制造商直接授权的代理商或经销商；2.证明材料以制造商或制造商授权的一级代理商出具的授权函（如为制造商直接参与投标的，须提供相关证明或承诺）及售后承诺书原件扫描件并加盖供应商公章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进货渠道证明.docx</w:t>
            </w:r>
          </w:p>
          <w:p>
            <w:pPr>
              <w:pStyle w:val="null3"/>
            </w:pPr>
            <w:r>
              <w:rPr>
                <w:rFonts w:ascii="仿宋_GB2312" w:hAnsi="仿宋_GB2312" w:cs="仿宋_GB2312" w:eastAsia="仿宋_GB2312"/>
              </w:rPr>
              <w:t>质保及售后服务方案.docx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提供2023年1月1日以来类似项目的业绩证明文件（以合同签订日期为准），每份合格业绩合同计 2 分，满分10分。 注：需提供完整业绩合同及对应货款发票（任意一张）扫描件，并加盖供应商公章。前述两种证明材料同时提供方可得分，否则不得分。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报价为评标基准价，其价格分为满分。其他供应商的价格分统一按照下列公式计算：报价得分=（评标基准价/投标报价）×30。注：根据《国务院办公厅关于在政府采购中实施本国产品标准及相关政策的通知》（国办发〔2025〕34号）的规定，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详见附件：供货服务方案.docx</w:t>
      </w:r>
    </w:p>
    <w:p>
      <w:pPr>
        <w:pStyle w:val="null3"/>
        <w:ind w:firstLine="960"/>
      </w:pPr>
      <w:r>
        <w:rPr>
          <w:rFonts w:ascii="仿宋_GB2312" w:hAnsi="仿宋_GB2312" w:cs="仿宋_GB2312" w:eastAsia="仿宋_GB2312"/>
        </w:rPr>
        <w:t>详见附件：进货渠道证明.docx</w:t>
      </w:r>
    </w:p>
    <w:p>
      <w:pPr>
        <w:pStyle w:val="null3"/>
        <w:ind w:firstLine="960"/>
      </w:pPr>
      <w:r>
        <w:rPr>
          <w:rFonts w:ascii="仿宋_GB2312" w:hAnsi="仿宋_GB2312" w:cs="仿宋_GB2312" w:eastAsia="仿宋_GB2312"/>
        </w:rPr>
        <w:t>详见附件：质保及售后服务方案.docx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