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版本号：ZYJY-【2026】CS041420260413001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课程资源采购及制作项目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ZYJY-【2026】CS0414</w:t>
      </w:r>
      <w:r>
        <w:br/>
      </w:r>
      <w:r>
        <w:br/>
      </w:r>
      <w:r>
        <w:br/>
      </w:r>
    </w:p>
    <w:p>
      <w:pPr>
        <w:pStyle w:val="null3"/>
        <w:jc w:val="center"/>
        <w:outlineLvl w:val="2"/>
      </w:pPr>
      <w:r>
        <w:rPr>
          <w:rFonts w:ascii="仿宋_GB2312" w:hAnsi="仿宋_GB2312" w:cs="仿宋_GB2312" w:eastAsia="仿宋_GB2312"/>
          <w:sz w:val="28"/>
          <w:b/>
        </w:rPr>
        <w:t>西安开放大学</w:t>
      </w:r>
    </w:p>
    <w:p>
      <w:pPr>
        <w:pStyle w:val="null3"/>
        <w:jc w:val="center"/>
        <w:outlineLvl w:val="2"/>
      </w:pPr>
      <w:r>
        <w:rPr>
          <w:rFonts w:ascii="仿宋_GB2312" w:hAnsi="仿宋_GB2312" w:cs="仿宋_GB2312" w:eastAsia="仿宋_GB2312"/>
          <w:sz w:val="28"/>
          <w:b/>
        </w:rPr>
        <w:t>陕西知源集易招标代理有限公司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陕西知源集易招标代理有限公司</w:t>
      </w:r>
      <w:r>
        <w:rPr>
          <w:rFonts w:ascii="仿宋_GB2312" w:hAnsi="仿宋_GB2312" w:cs="仿宋_GB2312" w:eastAsia="仿宋_GB2312"/>
        </w:rPr>
        <w:t>（以下简称“代理机构”）受</w:t>
      </w:r>
      <w:r>
        <w:rPr>
          <w:rFonts w:ascii="仿宋_GB2312" w:hAnsi="仿宋_GB2312" w:cs="仿宋_GB2312" w:eastAsia="仿宋_GB2312"/>
        </w:rPr>
        <w:t>西安开放大学</w:t>
      </w:r>
      <w:r>
        <w:rPr>
          <w:rFonts w:ascii="仿宋_GB2312" w:hAnsi="仿宋_GB2312" w:cs="仿宋_GB2312" w:eastAsia="仿宋_GB2312"/>
        </w:rPr>
        <w:t>委托，拟对</w:t>
      </w:r>
      <w:r>
        <w:rPr>
          <w:rFonts w:ascii="仿宋_GB2312" w:hAnsi="仿宋_GB2312" w:cs="仿宋_GB2312" w:eastAsia="仿宋_GB2312"/>
        </w:rPr>
        <w:t>课程资源采购及制作项目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ZYJY-【2026】CS0414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课程资源采购及制作项目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西安开放大学课程资源采购及制作项目，具体详见采购文件第三章。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1、营业执照等主体资格证明文件：营业执照等主体资格证明文件：提供有效存续的企业营业执照（副本）/事业单位法人证书/专业服务机构执业许可证/民办非企业单位登记证书。自然人参与的提供身份证明；</w:t>
      </w:r>
    </w:p>
    <w:p>
      <w:pPr>
        <w:pStyle w:val="null3"/>
      </w:pPr>
      <w:r>
        <w:rPr>
          <w:rFonts w:ascii="仿宋_GB2312" w:hAnsi="仿宋_GB2312" w:cs="仿宋_GB2312" w:eastAsia="仿宋_GB2312"/>
        </w:rPr>
        <w:t>2、法定代表人授权书：法定代表人直接参加磋商的须提交法定代表人证明书；法定代表人授权代表参加磋商的，提供法定代表人授权书（附法定代表人、被授权人身份证复印件）</w:t>
      </w:r>
    </w:p>
    <w:p>
      <w:pPr>
        <w:pStyle w:val="null3"/>
      </w:pPr>
      <w:r>
        <w:rPr>
          <w:rFonts w:ascii="仿宋_GB2312" w:hAnsi="仿宋_GB2312" w:cs="仿宋_GB2312" w:eastAsia="仿宋_GB2312"/>
        </w:rPr>
        <w:t>3、财务状况报告：财务状况报告：提供2024年度或2025年度完整版的财务审计报告（成立时间至提交投标文件截止时间不足一年的可提供成立后任意时段的资产负债表），或投标时间前六个月内基本账户银行出具的资信证明；</w:t>
      </w:r>
    </w:p>
    <w:p>
      <w:pPr>
        <w:pStyle w:val="null3"/>
      </w:pPr>
      <w:r>
        <w:rPr>
          <w:rFonts w:ascii="仿宋_GB2312" w:hAnsi="仿宋_GB2312" w:cs="仿宋_GB2312" w:eastAsia="仿宋_GB2312"/>
        </w:rPr>
        <w:t>4、税收缴纳证明：税收缴纳证明：提供投标截止之日前一年内已缴纳的至少三个月的纳税证明或完税证明（任意税种），依法免税的单位应提供相关证明材料；</w:t>
      </w:r>
    </w:p>
    <w:p>
      <w:pPr>
        <w:pStyle w:val="null3"/>
      </w:pPr>
      <w:r>
        <w:rPr>
          <w:rFonts w:ascii="仿宋_GB2312" w:hAnsi="仿宋_GB2312" w:cs="仿宋_GB2312" w:eastAsia="仿宋_GB2312"/>
        </w:rPr>
        <w:t>5、社会保障资金缴纳证明：社会保障资金缴纳证明:提供投标截止之日前一年内已缴存的至少三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6、专业技术能力说明：专业技术能力说明:提供具有履行本合同所必需的设备和专业技术能力的说明及承诺书；</w:t>
      </w:r>
    </w:p>
    <w:p>
      <w:pPr>
        <w:pStyle w:val="null3"/>
      </w:pPr>
      <w:r>
        <w:rPr>
          <w:rFonts w:ascii="仿宋_GB2312" w:hAnsi="仿宋_GB2312" w:cs="仿宋_GB2312" w:eastAsia="仿宋_GB2312"/>
        </w:rPr>
        <w:t>7、无重大违法说明：无重大违法说明:参加政府采购活动前3年内，在经营活动中没有重大违法记录的书面声明；</w:t>
      </w:r>
    </w:p>
    <w:p>
      <w:pPr>
        <w:pStyle w:val="null3"/>
      </w:pPr>
      <w:r>
        <w:rPr>
          <w:rFonts w:ascii="仿宋_GB2312" w:hAnsi="仿宋_GB2312" w:cs="仿宋_GB2312" w:eastAsia="仿宋_GB2312"/>
        </w:rPr>
        <w:t>8、信用记录：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投标人无须提供，投标现场查询）</w:t>
      </w:r>
    </w:p>
    <w:p>
      <w:pPr>
        <w:pStyle w:val="null3"/>
      </w:pPr>
      <w:r>
        <w:rPr>
          <w:rFonts w:ascii="仿宋_GB2312" w:hAnsi="仿宋_GB2312" w:cs="仿宋_GB2312" w:eastAsia="仿宋_GB2312"/>
        </w:rPr>
        <w:t>9、控股关系承诺书：控股关系承诺书：单位负责人为同一人或存在直接控股、管理关系的不同单位，不得参加同一合同项下的政府采购活动；</w:t>
      </w:r>
    </w:p>
    <w:p>
      <w:pPr>
        <w:pStyle w:val="null3"/>
      </w:pPr>
      <w:r>
        <w:rPr>
          <w:rFonts w:ascii="仿宋_GB2312" w:hAnsi="仿宋_GB2312" w:cs="仿宋_GB2312" w:eastAsia="仿宋_GB2312"/>
        </w:rPr>
        <w:t>10、非联合体承诺书：本项目不接受联合体投标。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西安开放大学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西安市碑林区五味什字48号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029-83233105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陕西知源集易招标代理有限公司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陕西省西安市高新区科技二路兰基中心10楼1003室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郑凡、赵雪静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029-89520099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1、达到限额标准的项目按照《国家发展改革委关于进一步放开建设项目专业服务价格的通知》（发改价格（2015）299号）文件的要求，结合市场实际情况，经甲、乙双方协商一致，以中标金额为基准，标准收取。2、支付方式：成交供应商应在领取通知书的同时，支付本项目代理服务费。收款账户如下： 收款单位：陕西知源集易招标代理有限公司 开户银行：西安银行股份有限公司西安曲江支行 银行账号：981011510000073005</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西安开放大学</w:t>
      </w:r>
      <w:r>
        <w:rPr>
          <w:rFonts w:ascii="仿宋_GB2312" w:hAnsi="仿宋_GB2312" w:cs="仿宋_GB2312" w:eastAsia="仿宋_GB2312"/>
        </w:rPr>
        <w:t>和</w:t>
      </w:r>
      <w:r>
        <w:rPr>
          <w:rFonts w:ascii="仿宋_GB2312" w:hAnsi="仿宋_GB2312" w:cs="仿宋_GB2312" w:eastAsia="仿宋_GB2312"/>
        </w:rPr>
        <w:t>陕西知源集易招标代理有限公司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西安开放大学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陕西知源集易招标代理有限公司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西安开放大学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陕西知源集易招标代理有限公司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陕西知源集易招标代理有限公司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陕西知源集易招标代理有限公司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陕西知源集易招标代理有限公司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联系人：郑凡、赵雪静</w:t>
      </w:r>
    </w:p>
    <w:p>
      <w:pPr>
        <w:pStyle w:val="null3"/>
      </w:pPr>
      <w:r>
        <w:rPr>
          <w:rFonts w:ascii="仿宋_GB2312" w:hAnsi="仿宋_GB2312" w:cs="仿宋_GB2312" w:eastAsia="仿宋_GB2312"/>
        </w:rPr>
        <w:t>联系电话：029-89520099</w:t>
      </w:r>
    </w:p>
    <w:p>
      <w:pPr>
        <w:pStyle w:val="null3"/>
      </w:pPr>
      <w:r>
        <w:rPr>
          <w:rFonts w:ascii="仿宋_GB2312" w:hAnsi="仿宋_GB2312" w:cs="仿宋_GB2312" w:eastAsia="仿宋_GB2312"/>
        </w:rPr>
        <w:t>地址：陕西省西安市高新区科技二路兰基中心10楼1003室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根据陕西省人力资源和社会保障厅、市委组织部、市教育局、市总工会的相关培训要求，我校作为省、市级专业技术人员继续教育基地、幼儿园园长任职资格培训基地、乡村振兴培训基地及职工素质能力提升基地等，面向专业技术人员、教师、村干部、企事业单位职工等开展继续教育培训，满足各级各类人员的网络培训需求，提升学员的综合素质能力和专业水平。采购与制作的课程资源主要供我校在省专技平台和西安开放大学的网络培训平台开展网络培训使用。2026年计划采购与制作通识类、专业类课程资源。</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课程资源制作</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标的名称：课程资源制作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83"/>
              <w:gridCol w:w="226"/>
              <w:gridCol w:w="2144"/>
            </w:tblGrid>
            <w:tr>
              <w:tc>
                <w:tcPr>
                  <w:tcW w:type="dxa" w:w="1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FF"/>
                    </w:rPr>
                    <w:t>参数性质</w:t>
                  </w:r>
                </w:p>
              </w:tc>
              <w:tc>
                <w:tcPr>
                  <w:tcW w:type="dxa" w:w="2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FF"/>
                    </w:rPr>
                    <w:t>序号</w:t>
                  </w:r>
                </w:p>
              </w:tc>
              <w:tc>
                <w:tcPr>
                  <w:tcW w:type="dxa" w:w="21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FF"/>
                    </w:rPr>
                    <w:t>技术参数与性能指标</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FF"/>
                    </w:rPr>
                    <w:t>1</w:t>
                  </w:r>
                </w:p>
              </w:tc>
              <w:tc>
                <w:tcPr>
                  <w:tcW w:type="dxa" w:w="2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2"/>
                    <w:jc w:val="both"/>
                  </w:pPr>
                  <w:r>
                    <w:rPr>
                      <w:rFonts w:ascii="仿宋_GB2312" w:hAnsi="仿宋_GB2312" w:cs="仿宋_GB2312" w:eastAsia="仿宋_GB2312"/>
                      <w:sz w:val="20"/>
                      <w:b/>
                      <w:color w:val="0000FF"/>
                    </w:rPr>
                    <w:t>一、项目概况</w:t>
                  </w:r>
                </w:p>
                <w:p>
                  <w:pPr>
                    <w:pStyle w:val="null3"/>
                    <w:spacing w:before="60" w:after="60"/>
                    <w:ind w:firstLine="400"/>
                    <w:jc w:val="both"/>
                  </w:pPr>
                  <w:r>
                    <w:rPr>
                      <w:rFonts w:ascii="仿宋_GB2312" w:hAnsi="仿宋_GB2312" w:cs="仿宋_GB2312" w:eastAsia="仿宋_GB2312"/>
                      <w:sz w:val="20"/>
                      <w:color w:val="0000FF"/>
                    </w:rPr>
                    <w:t>根据陕西省人力资源和社会保障厅、市委组织部、市教育局、市总工会的相关培训要求，我校作为省、市级专业技术人员继续教育基地、幼儿园园长任职资格培训基地、乡村振兴培训基地及职工素质能力提升基地等，面向专业技术人员、教师、村干部、企事业单位职工等开展继续教育培训，满足各级各类人员的网络培训需求，提升学员的综合素质能力和专业水平。采购与制作的课程资源主要供我校在省专技平台和西安开放大学的网络培训平台开展网络培训使用。</w:t>
                  </w:r>
                  <w:r>
                    <w:rPr>
                      <w:rFonts w:ascii="仿宋_GB2312" w:hAnsi="仿宋_GB2312" w:cs="仿宋_GB2312" w:eastAsia="仿宋_GB2312"/>
                      <w:sz w:val="20"/>
                      <w:color w:val="0000FF"/>
                    </w:rPr>
                    <w:t>2026年计划采购与制作通识类、专业类课程资源</w:t>
                  </w:r>
                  <w:r>
                    <w:rPr>
                      <w:rFonts w:ascii="仿宋_GB2312" w:hAnsi="仿宋_GB2312" w:cs="仿宋_GB2312" w:eastAsia="仿宋_GB2312"/>
                      <w:sz w:val="20"/>
                      <w:color w:val="0000FF"/>
                    </w:rPr>
                    <w:t>。</w:t>
                  </w:r>
                </w:p>
                <w:p>
                  <w:pPr>
                    <w:pStyle w:val="null3"/>
                    <w:ind w:firstLine="402"/>
                    <w:jc w:val="left"/>
                  </w:pPr>
                  <w:r>
                    <w:rPr>
                      <w:rFonts w:ascii="仿宋_GB2312" w:hAnsi="仿宋_GB2312" w:cs="仿宋_GB2312" w:eastAsia="仿宋_GB2312"/>
                      <w:sz w:val="20"/>
                      <w:b/>
                      <w:color w:val="0000FF"/>
                    </w:rPr>
                    <w:t>二、服务内容</w:t>
                  </w:r>
                </w:p>
                <w:tbl>
                  <w:tblPr>
                    <w:tblInd w:type="dxa" w:w="135"/>
                    <w:tblBorders>
                      <w:top w:val="none" w:color="000000" w:sz="4"/>
                      <w:left w:val="none" w:color="000000" w:sz="4"/>
                      <w:bottom w:val="none" w:color="000000" w:sz="4"/>
                      <w:right w:val="none" w:color="000000" w:sz="4"/>
                      <w:insideH w:val="none"/>
                      <w:insideV w:val="none"/>
                    </w:tblBorders>
                  </w:tblPr>
                  <w:tblGrid>
                    <w:gridCol w:w="925"/>
                    <w:gridCol w:w="2227"/>
                    <w:gridCol w:w="698"/>
                  </w:tblGrid>
                  <w:tr>
                    <w:tc>
                      <w:tcPr>
                        <w:tcW w:type="dxa" w:w="9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内容</w:t>
                        </w:r>
                      </w:p>
                    </w:tc>
                    <w:tc>
                      <w:tcPr>
                        <w:tcW w:type="dxa" w:w="22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课程明细</w:t>
                        </w:r>
                      </w:p>
                    </w:tc>
                    <w:tc>
                      <w:tcPr>
                        <w:tcW w:type="dxa" w:w="6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形式</w:t>
                        </w:r>
                      </w:p>
                    </w:tc>
                  </w:tr>
                  <w:tr>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通识类、专业类课程资源</w:t>
                        </w:r>
                      </w:p>
                    </w:tc>
                    <w:tc>
                      <w:tcPr>
                        <w:tcW w:type="dxa" w:w="2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FF"/>
                          </w:rPr>
                          <w:t>一、</w:t>
                        </w:r>
                        <w:r>
                          <w:rPr>
                            <w:rFonts w:ascii="仿宋_GB2312" w:hAnsi="仿宋_GB2312" w:cs="仿宋_GB2312" w:eastAsia="仿宋_GB2312"/>
                            <w:sz w:val="20"/>
                            <w:color w:val="0000FF"/>
                          </w:rPr>
                          <w:t>按照陕西省人社厅</w:t>
                        </w:r>
                        <w:r>
                          <w:rPr>
                            <w:rFonts w:ascii="仿宋_GB2312" w:hAnsi="仿宋_GB2312" w:cs="仿宋_GB2312" w:eastAsia="仿宋_GB2312"/>
                            <w:sz w:val="20"/>
                            <w:color w:val="0000FF"/>
                          </w:rPr>
                          <w:t>2026年专业技术人员继续教育培训文件要求提供公需课、专业课课程资源。</w:t>
                        </w:r>
                      </w:p>
                      <w:p>
                        <w:pPr>
                          <w:pStyle w:val="null3"/>
                          <w:jc w:val="both"/>
                        </w:pPr>
                        <w:r>
                          <w:rPr>
                            <w:rFonts w:ascii="仿宋_GB2312" w:hAnsi="仿宋_GB2312" w:cs="仿宋_GB2312" w:eastAsia="仿宋_GB2312"/>
                            <w:sz w:val="20"/>
                            <w:color w:val="0000FF"/>
                          </w:rPr>
                          <w:t>1</w:t>
                        </w:r>
                        <w:r>
                          <w:rPr>
                            <w:rFonts w:ascii="仿宋_GB2312" w:hAnsi="仿宋_GB2312" w:cs="仿宋_GB2312" w:eastAsia="仿宋_GB2312"/>
                            <w:sz w:val="20"/>
                            <w:color w:val="0000FF"/>
                          </w:rPr>
                          <w:t>.工程项目施工、建筑管理等课程资源。</w:t>
                        </w:r>
                        <w:r>
                          <w:rPr>
                            <w:rFonts w:ascii="仿宋_GB2312" w:hAnsi="仿宋_GB2312" w:cs="仿宋_GB2312" w:eastAsia="仿宋_GB2312"/>
                            <w:sz w:val="20"/>
                            <w:color w:val="0000FF"/>
                          </w:rPr>
                          <w:t>2</w:t>
                        </w:r>
                        <w:r>
                          <w:rPr>
                            <w:rFonts w:ascii="仿宋_GB2312" w:hAnsi="仿宋_GB2312" w:cs="仿宋_GB2312" w:eastAsia="仿宋_GB2312"/>
                            <w:sz w:val="20"/>
                            <w:color w:val="0000FF"/>
                          </w:rPr>
                          <w:t>.提升教师教育理念、人文素养、师德师风、信息技术、班级管理等方面提升综合素质的课程资源。</w:t>
                        </w:r>
                      </w:p>
                      <w:p>
                        <w:pPr>
                          <w:pStyle w:val="null3"/>
                          <w:jc w:val="both"/>
                        </w:pPr>
                        <w:r>
                          <w:rPr>
                            <w:rFonts w:ascii="仿宋_GB2312" w:hAnsi="仿宋_GB2312" w:cs="仿宋_GB2312" w:eastAsia="仿宋_GB2312"/>
                            <w:sz w:val="20"/>
                            <w:color w:val="0000FF"/>
                          </w:rPr>
                          <w:t>3</w:t>
                        </w:r>
                        <w:r>
                          <w:rPr>
                            <w:rFonts w:ascii="仿宋_GB2312" w:hAnsi="仿宋_GB2312" w:cs="仿宋_GB2312" w:eastAsia="仿宋_GB2312"/>
                            <w:sz w:val="20"/>
                            <w:color w:val="0000FF"/>
                          </w:rPr>
                          <w:t>.关于医疗卫生改革、医疗管理、食品安全等方面课程资源。</w:t>
                        </w:r>
                      </w:p>
                      <w:p>
                        <w:pPr>
                          <w:pStyle w:val="null3"/>
                          <w:jc w:val="both"/>
                        </w:pPr>
                        <w:r>
                          <w:rPr>
                            <w:rFonts w:ascii="仿宋_GB2312" w:hAnsi="仿宋_GB2312" w:cs="仿宋_GB2312" w:eastAsia="仿宋_GB2312"/>
                            <w:sz w:val="20"/>
                            <w:color w:val="0000FF"/>
                          </w:rPr>
                          <w:t>4</w:t>
                        </w:r>
                        <w:r>
                          <w:rPr>
                            <w:rFonts w:ascii="仿宋_GB2312" w:hAnsi="仿宋_GB2312" w:cs="仿宋_GB2312" w:eastAsia="仿宋_GB2312"/>
                            <w:sz w:val="20"/>
                            <w:color w:val="0000FF"/>
                          </w:rPr>
                          <w:t>.关于经济发展、区域经济、经济学动态等经济类别课程资源。</w:t>
                        </w:r>
                      </w:p>
                      <w:p>
                        <w:pPr>
                          <w:pStyle w:val="null3"/>
                          <w:jc w:val="both"/>
                        </w:pPr>
                        <w:r>
                          <w:rPr>
                            <w:rFonts w:ascii="仿宋_GB2312" w:hAnsi="仿宋_GB2312" w:cs="仿宋_GB2312" w:eastAsia="仿宋_GB2312"/>
                            <w:sz w:val="20"/>
                            <w:color w:val="0000FF"/>
                          </w:rPr>
                          <w:t>5</w:t>
                        </w:r>
                        <w:r>
                          <w:rPr>
                            <w:rFonts w:ascii="仿宋_GB2312" w:hAnsi="仿宋_GB2312" w:cs="仿宋_GB2312" w:eastAsia="仿宋_GB2312"/>
                            <w:sz w:val="20"/>
                            <w:color w:val="0000FF"/>
                          </w:rPr>
                          <w:t>.关于农业科技、乡村振兴、产业发展等方面课程资源。</w:t>
                        </w:r>
                      </w:p>
                      <w:p>
                        <w:pPr>
                          <w:pStyle w:val="null3"/>
                          <w:jc w:val="both"/>
                        </w:pPr>
                        <w:r>
                          <w:rPr>
                            <w:rFonts w:ascii="仿宋_GB2312" w:hAnsi="仿宋_GB2312" w:cs="仿宋_GB2312" w:eastAsia="仿宋_GB2312"/>
                            <w:sz w:val="20"/>
                            <w:color w:val="0000FF"/>
                          </w:rPr>
                          <w:t>6</w:t>
                        </w:r>
                        <w:r>
                          <w:rPr>
                            <w:rFonts w:ascii="仿宋_GB2312" w:hAnsi="仿宋_GB2312" w:cs="仿宋_GB2312" w:eastAsia="仿宋_GB2312"/>
                            <w:sz w:val="20"/>
                            <w:color w:val="0000FF"/>
                          </w:rPr>
                          <w:t>.关于思想道德、职业道德、技术技能、健康安全、劳动精神等类别课程。</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采购</w:t>
                        </w:r>
                        <w:r>
                          <w:rPr>
                            <w:rFonts w:ascii="仿宋_GB2312" w:hAnsi="仿宋_GB2312" w:cs="仿宋_GB2312" w:eastAsia="仿宋_GB2312"/>
                            <w:sz w:val="20"/>
                            <w:color w:val="0000FF"/>
                          </w:rPr>
                          <w:t>224学时</w:t>
                        </w:r>
                      </w:p>
                    </w:tc>
                  </w:tr>
                </w:tbl>
                <w:p>
                  <w:pPr>
                    <w:pStyle w:val="null3"/>
                    <w:ind w:firstLine="402"/>
                    <w:jc w:val="left"/>
                  </w:pPr>
                  <w:r>
                    <w:rPr>
                      <w:rFonts w:ascii="仿宋_GB2312" w:hAnsi="仿宋_GB2312" w:cs="仿宋_GB2312" w:eastAsia="仿宋_GB2312"/>
                      <w:sz w:val="20"/>
                      <w:b/>
                      <w:color w:val="0000FF"/>
                    </w:rPr>
                    <w:t>三、技术要求</w:t>
                  </w:r>
                </w:p>
                <w:p>
                  <w:pPr>
                    <w:pStyle w:val="null3"/>
                    <w:ind w:firstLine="400"/>
                    <w:jc w:val="left"/>
                  </w:pPr>
                  <w:r>
                    <w:rPr>
                      <w:rFonts w:ascii="仿宋_GB2312" w:hAnsi="仿宋_GB2312" w:cs="仿宋_GB2312" w:eastAsia="仿宋_GB2312"/>
                      <w:sz w:val="20"/>
                      <w:color w:val="0000FF"/>
                    </w:rPr>
                    <w:t>（一）前期录制要求</w:t>
                  </w:r>
                </w:p>
                <w:p>
                  <w:pPr>
                    <w:pStyle w:val="null3"/>
                    <w:ind w:firstLine="400"/>
                    <w:jc w:val="left"/>
                  </w:pPr>
                  <w:r>
                    <w:rPr>
                      <w:rFonts w:ascii="仿宋_GB2312" w:hAnsi="仿宋_GB2312" w:cs="仿宋_GB2312" w:eastAsia="仿宋_GB2312"/>
                      <w:sz w:val="20"/>
                      <w:color w:val="0000FF"/>
                    </w:rPr>
                    <w:t>1．课程时长</w:t>
                  </w:r>
                </w:p>
                <w:p>
                  <w:pPr>
                    <w:pStyle w:val="null3"/>
                    <w:ind w:firstLine="400"/>
                    <w:jc w:val="left"/>
                  </w:pPr>
                  <w:r>
                    <w:rPr>
                      <w:rFonts w:ascii="仿宋_GB2312" w:hAnsi="仿宋_GB2312" w:cs="仿宋_GB2312" w:eastAsia="仿宋_GB2312"/>
                      <w:sz w:val="20"/>
                      <w:color w:val="0000FF"/>
                    </w:rPr>
                    <w:t>根据情况将课程分为若干讲，每讲时长应在</w:t>
                  </w:r>
                  <w:r>
                    <w:rPr>
                      <w:rFonts w:ascii="仿宋_GB2312" w:hAnsi="仿宋_GB2312" w:cs="仿宋_GB2312" w:eastAsia="仿宋_GB2312"/>
                      <w:sz w:val="20"/>
                      <w:color w:val="0000FF"/>
                    </w:rPr>
                    <w:t>60分钟左右。</w:t>
                  </w:r>
                </w:p>
                <w:p>
                  <w:pPr>
                    <w:pStyle w:val="null3"/>
                    <w:ind w:firstLine="400"/>
                    <w:jc w:val="left"/>
                  </w:pPr>
                  <w:r>
                    <w:rPr>
                      <w:rFonts w:ascii="仿宋_GB2312" w:hAnsi="仿宋_GB2312" w:cs="仿宋_GB2312" w:eastAsia="仿宋_GB2312"/>
                      <w:sz w:val="20"/>
                      <w:color w:val="0000FF"/>
                    </w:rPr>
                    <w:t>在视频的后期制作中，应编辑删除与教学无关的内容。</w:t>
                  </w:r>
                </w:p>
                <w:p>
                  <w:pPr>
                    <w:pStyle w:val="null3"/>
                    <w:ind w:firstLine="400"/>
                    <w:jc w:val="left"/>
                  </w:pPr>
                  <w:r>
                    <w:rPr>
                      <w:rFonts w:ascii="仿宋_GB2312" w:hAnsi="仿宋_GB2312" w:cs="仿宋_GB2312" w:eastAsia="仿宋_GB2312"/>
                      <w:sz w:val="20"/>
                      <w:color w:val="0000FF"/>
                    </w:rPr>
                    <w:t>2．录制场地</w:t>
                  </w:r>
                </w:p>
                <w:p>
                  <w:pPr>
                    <w:pStyle w:val="null3"/>
                    <w:ind w:firstLine="400"/>
                    <w:jc w:val="left"/>
                  </w:pPr>
                  <w:r>
                    <w:rPr>
                      <w:rFonts w:ascii="仿宋_GB2312" w:hAnsi="仿宋_GB2312" w:cs="仿宋_GB2312" w:eastAsia="仿宋_GB2312"/>
                      <w:sz w:val="20"/>
                      <w:color w:val="0000FF"/>
                    </w:rPr>
                    <w:t>录制场地应选择演播室。要求录制现场光线充足、环境安静、整洁，避免在镜头中出现有广告嫌疑或与课程无关的标识等内容。</w:t>
                  </w:r>
                </w:p>
                <w:p>
                  <w:pPr>
                    <w:pStyle w:val="null3"/>
                    <w:ind w:firstLine="400"/>
                    <w:jc w:val="left"/>
                  </w:pPr>
                  <w:r>
                    <w:rPr>
                      <w:rFonts w:ascii="仿宋_GB2312" w:hAnsi="仿宋_GB2312" w:cs="仿宋_GB2312" w:eastAsia="仿宋_GB2312"/>
                      <w:sz w:val="20"/>
                      <w:color w:val="0000FF"/>
                    </w:rPr>
                    <w:t>3．课程形式</w:t>
                  </w:r>
                </w:p>
                <w:p>
                  <w:pPr>
                    <w:pStyle w:val="null3"/>
                    <w:ind w:firstLine="400"/>
                    <w:jc w:val="left"/>
                  </w:pPr>
                  <w:r>
                    <w:rPr>
                      <w:rFonts w:ascii="仿宋_GB2312" w:hAnsi="仿宋_GB2312" w:cs="仿宋_GB2312" w:eastAsia="仿宋_GB2312"/>
                      <w:sz w:val="20"/>
                      <w:color w:val="0000FF"/>
                    </w:rPr>
                    <w:t>成片统一采用单一视频形式。</w:t>
                  </w:r>
                </w:p>
                <w:p>
                  <w:pPr>
                    <w:pStyle w:val="null3"/>
                    <w:ind w:firstLine="400"/>
                    <w:jc w:val="left"/>
                  </w:pPr>
                  <w:r>
                    <w:rPr>
                      <w:rFonts w:ascii="仿宋_GB2312" w:hAnsi="仿宋_GB2312" w:cs="仿宋_GB2312" w:eastAsia="仿宋_GB2312"/>
                      <w:sz w:val="20"/>
                      <w:color w:val="0000FF"/>
                    </w:rPr>
                    <w:t>4．录制方式及设备</w:t>
                  </w:r>
                </w:p>
                <w:p>
                  <w:pPr>
                    <w:pStyle w:val="null3"/>
                    <w:ind w:firstLine="400"/>
                    <w:jc w:val="left"/>
                  </w:pPr>
                  <w:r>
                    <w:rPr>
                      <w:rFonts w:ascii="仿宋_GB2312" w:hAnsi="仿宋_GB2312" w:cs="仿宋_GB2312" w:eastAsia="仿宋_GB2312"/>
                      <w:sz w:val="20"/>
                      <w:color w:val="0000FF"/>
                    </w:rPr>
                    <w:t>（</w:t>
                  </w:r>
                  <w:r>
                    <w:rPr>
                      <w:rFonts w:ascii="仿宋_GB2312" w:hAnsi="仿宋_GB2312" w:cs="仿宋_GB2312" w:eastAsia="仿宋_GB2312"/>
                      <w:sz w:val="20"/>
                      <w:color w:val="0000FF"/>
                    </w:rPr>
                    <w:t>1）拍摄方式：根据课程内容，采用多机位拍摄（2机位以上，至少包含PPT视频流、教师视频流或者PPT与教师的合成视频流），机位设置应满足完整记录课堂全部教学活动的要求。</w:t>
                  </w:r>
                </w:p>
                <w:p>
                  <w:pPr>
                    <w:pStyle w:val="null3"/>
                    <w:ind w:firstLine="400"/>
                    <w:jc w:val="left"/>
                  </w:pPr>
                  <w:r>
                    <w:rPr>
                      <w:rFonts w:ascii="仿宋_GB2312" w:hAnsi="仿宋_GB2312" w:cs="仿宋_GB2312" w:eastAsia="仿宋_GB2312"/>
                      <w:sz w:val="20"/>
                      <w:color w:val="0000FF"/>
                    </w:rPr>
                    <w:t>（</w:t>
                  </w:r>
                  <w:r>
                    <w:rPr>
                      <w:rFonts w:ascii="仿宋_GB2312" w:hAnsi="仿宋_GB2312" w:cs="仿宋_GB2312" w:eastAsia="仿宋_GB2312"/>
                      <w:sz w:val="20"/>
                      <w:color w:val="0000FF"/>
                    </w:rPr>
                    <w:t>2）录像设备：摄像机要求不低于专业级数字设备，推荐使用高清数字设备。</w:t>
                  </w:r>
                </w:p>
                <w:p>
                  <w:pPr>
                    <w:pStyle w:val="null3"/>
                    <w:ind w:firstLine="400"/>
                    <w:jc w:val="left"/>
                  </w:pPr>
                  <w:r>
                    <w:rPr>
                      <w:rFonts w:ascii="仿宋_GB2312" w:hAnsi="仿宋_GB2312" w:cs="仿宋_GB2312" w:eastAsia="仿宋_GB2312"/>
                      <w:sz w:val="20"/>
                      <w:color w:val="0000FF"/>
                    </w:rPr>
                    <w:t>（</w:t>
                  </w:r>
                  <w:r>
                    <w:rPr>
                      <w:rFonts w:ascii="仿宋_GB2312" w:hAnsi="仿宋_GB2312" w:cs="仿宋_GB2312" w:eastAsia="仿宋_GB2312"/>
                      <w:sz w:val="20"/>
                      <w:color w:val="0000FF"/>
                    </w:rPr>
                    <w:t>3）录音设备：使用若干个专业级话筒，保证教师和学生发言的录音质量。</w:t>
                  </w:r>
                </w:p>
                <w:p>
                  <w:pPr>
                    <w:pStyle w:val="null3"/>
                    <w:ind w:firstLine="400"/>
                    <w:jc w:val="left"/>
                  </w:pPr>
                  <w:r>
                    <w:rPr>
                      <w:rFonts w:ascii="仿宋_GB2312" w:hAnsi="仿宋_GB2312" w:cs="仿宋_GB2312" w:eastAsia="仿宋_GB2312"/>
                      <w:sz w:val="20"/>
                      <w:color w:val="0000FF"/>
                    </w:rPr>
                    <w:t>（</w:t>
                  </w:r>
                  <w:r>
                    <w:rPr>
                      <w:rFonts w:ascii="仿宋_GB2312" w:hAnsi="仿宋_GB2312" w:cs="仿宋_GB2312" w:eastAsia="仿宋_GB2312"/>
                      <w:sz w:val="20"/>
                      <w:color w:val="0000FF"/>
                    </w:rPr>
                    <w:t>4）后期制作设备：使用相应的非线性编辑系统。</w:t>
                  </w:r>
                </w:p>
                <w:p>
                  <w:pPr>
                    <w:pStyle w:val="null3"/>
                    <w:ind w:firstLine="400"/>
                    <w:jc w:val="left"/>
                  </w:pPr>
                  <w:r>
                    <w:rPr>
                      <w:rFonts w:ascii="仿宋_GB2312" w:hAnsi="仿宋_GB2312" w:cs="仿宋_GB2312" w:eastAsia="仿宋_GB2312"/>
                      <w:sz w:val="20"/>
                      <w:color w:val="0000FF"/>
                    </w:rPr>
                    <w:t>5．课件的制作及录制</w:t>
                  </w:r>
                </w:p>
                <w:p>
                  <w:pPr>
                    <w:pStyle w:val="null3"/>
                    <w:ind w:firstLine="400"/>
                    <w:jc w:val="left"/>
                  </w:pPr>
                  <w:r>
                    <w:rPr>
                      <w:rFonts w:ascii="仿宋_GB2312" w:hAnsi="仿宋_GB2312" w:cs="仿宋_GB2312" w:eastAsia="仿宋_GB2312"/>
                      <w:sz w:val="20"/>
                      <w:color w:val="0000FF"/>
                    </w:rPr>
                    <w:t>主讲教师必须具有副高及以上职称，教学内容无意识形态问题</w:t>
                  </w:r>
                  <w:r>
                    <w:rPr>
                      <w:rFonts w:ascii="仿宋_GB2312" w:hAnsi="仿宋_GB2312" w:cs="仿宋_GB2312" w:eastAsia="仿宋_GB2312"/>
                      <w:sz w:val="20"/>
                      <w:color w:val="0000FF"/>
                    </w:rPr>
                    <w:t>。教师在录制前应对授课过程中使用的多媒体课件（</w:t>
                  </w:r>
                  <w:r>
                    <w:rPr>
                      <w:rFonts w:ascii="仿宋_GB2312" w:hAnsi="仿宋_GB2312" w:cs="仿宋_GB2312" w:eastAsia="仿宋_GB2312"/>
                      <w:sz w:val="20"/>
                      <w:color w:val="0000FF"/>
                    </w:rPr>
                    <w:t>PPT、音视频、动画等）认真检查，确保其文字、格式规范，没有错误，符合拍摄要求。在拍摄时应针对实际情况选择适当的拍摄方式，确保成片中的多媒体演示及板书完整、清晰。课程目录中资源采购的内容及课时可根据采购方实际培训需求调整。</w:t>
                  </w:r>
                </w:p>
                <w:p>
                  <w:pPr>
                    <w:pStyle w:val="null3"/>
                    <w:ind w:firstLine="400"/>
                    <w:jc w:val="left"/>
                  </w:pPr>
                  <w:r>
                    <w:rPr>
                      <w:rFonts w:ascii="仿宋_GB2312" w:hAnsi="仿宋_GB2312" w:cs="仿宋_GB2312" w:eastAsia="仿宋_GB2312"/>
                      <w:sz w:val="20"/>
                      <w:color w:val="0000FF"/>
                    </w:rPr>
                    <w:t>（二）后期制作要求</w:t>
                  </w:r>
                </w:p>
                <w:p>
                  <w:pPr>
                    <w:pStyle w:val="null3"/>
                    <w:ind w:firstLine="400"/>
                    <w:jc w:val="left"/>
                  </w:pPr>
                  <w:r>
                    <w:rPr>
                      <w:rFonts w:ascii="仿宋_GB2312" w:hAnsi="仿宋_GB2312" w:cs="仿宋_GB2312" w:eastAsia="仿宋_GB2312"/>
                      <w:sz w:val="20"/>
                      <w:color w:val="0000FF"/>
                    </w:rPr>
                    <w:t>1</w:t>
                  </w:r>
                  <w:r>
                    <w:rPr>
                      <w:rFonts w:ascii="仿宋_GB2312" w:hAnsi="仿宋_GB2312" w:cs="仿宋_GB2312" w:eastAsia="仿宋_GB2312"/>
                      <w:sz w:val="20"/>
                      <w:color w:val="0000FF"/>
                    </w:rPr>
                    <w:t>.</w:t>
                  </w:r>
                  <w:r>
                    <w:rPr>
                      <w:rFonts w:ascii="仿宋_GB2312" w:hAnsi="仿宋_GB2312" w:cs="仿宋_GB2312" w:eastAsia="仿宋_GB2312"/>
                      <w:sz w:val="20"/>
                      <w:color w:val="0000FF"/>
                    </w:rPr>
                    <w:t>片头与片尾</w:t>
                  </w:r>
                </w:p>
                <w:p>
                  <w:pPr>
                    <w:pStyle w:val="null3"/>
                    <w:ind w:firstLine="400"/>
                    <w:jc w:val="left"/>
                  </w:pPr>
                  <w:r>
                    <w:rPr>
                      <w:rFonts w:ascii="仿宋_GB2312" w:hAnsi="仿宋_GB2312" w:cs="仿宋_GB2312" w:eastAsia="仿宋_GB2312"/>
                      <w:sz w:val="20"/>
                      <w:color w:val="0000FF"/>
                    </w:rPr>
                    <w:t>（</w:t>
                  </w:r>
                  <w:r>
                    <w:rPr>
                      <w:rFonts w:ascii="仿宋_GB2312" w:hAnsi="仿宋_GB2312" w:cs="仿宋_GB2312" w:eastAsia="仿宋_GB2312"/>
                      <w:sz w:val="20"/>
                      <w:color w:val="0000FF"/>
                    </w:rPr>
                    <w:t>1）按照采购方实际需要每门课程前放置陕西省专业技术人员继续教育统一片头，片尾放置“西安开放大学+日期”字样。</w:t>
                  </w:r>
                </w:p>
                <w:p>
                  <w:pPr>
                    <w:pStyle w:val="null3"/>
                    <w:ind w:firstLine="400"/>
                    <w:jc w:val="left"/>
                  </w:pPr>
                  <w:r>
                    <w:rPr>
                      <w:rFonts w:ascii="仿宋_GB2312" w:hAnsi="仿宋_GB2312" w:cs="仿宋_GB2312" w:eastAsia="仿宋_GB2312"/>
                      <w:sz w:val="20"/>
                      <w:color w:val="0000FF"/>
                    </w:rPr>
                    <w:t>（</w:t>
                  </w:r>
                  <w:r>
                    <w:rPr>
                      <w:rFonts w:ascii="仿宋_GB2312" w:hAnsi="仿宋_GB2312" w:cs="仿宋_GB2312" w:eastAsia="仿宋_GB2312"/>
                      <w:sz w:val="20"/>
                      <w:color w:val="0000FF"/>
                    </w:rPr>
                    <w:t>2</w:t>
                  </w:r>
                  <w:r>
                    <w:rPr>
                      <w:rFonts w:ascii="仿宋_GB2312" w:hAnsi="仿宋_GB2312" w:cs="仿宋_GB2312" w:eastAsia="仿宋_GB2312"/>
                      <w:sz w:val="20"/>
                      <w:color w:val="0000FF"/>
                    </w:rPr>
                    <w:t>）</w:t>
                  </w:r>
                  <w:r>
                    <w:rPr>
                      <w:rFonts w:ascii="仿宋_GB2312" w:hAnsi="仿宋_GB2312" w:cs="仿宋_GB2312" w:eastAsia="仿宋_GB2312"/>
                      <w:sz w:val="20"/>
                      <w:color w:val="0000FF"/>
                    </w:rPr>
                    <w:t>每讲片头不超过</w:t>
                  </w:r>
                  <w:r>
                    <w:rPr>
                      <w:rFonts w:ascii="仿宋_GB2312" w:hAnsi="仿宋_GB2312" w:cs="仿宋_GB2312" w:eastAsia="仿宋_GB2312"/>
                      <w:sz w:val="20"/>
                      <w:color w:val="0000FF"/>
                    </w:rPr>
                    <w:t>5秒，应包括：课程名称、讲次、主讲教师姓名，专业技术职务、单位等信息。</w:t>
                  </w:r>
                </w:p>
                <w:p>
                  <w:pPr>
                    <w:pStyle w:val="null3"/>
                    <w:ind w:firstLine="400"/>
                    <w:jc w:val="left"/>
                  </w:pPr>
                  <w:r>
                    <w:rPr>
                      <w:rFonts w:ascii="仿宋_GB2312" w:hAnsi="仿宋_GB2312" w:cs="仿宋_GB2312" w:eastAsia="仿宋_GB2312"/>
                      <w:sz w:val="20"/>
                      <w:color w:val="0000FF"/>
                    </w:rPr>
                    <w:t>2．课程视频预览</w:t>
                  </w:r>
                </w:p>
                <w:p>
                  <w:pPr>
                    <w:pStyle w:val="null3"/>
                    <w:ind w:firstLine="400"/>
                    <w:jc w:val="left"/>
                  </w:pPr>
                  <w:r>
                    <w:rPr>
                      <w:rFonts w:ascii="仿宋_GB2312" w:hAnsi="仿宋_GB2312" w:cs="仿宋_GB2312" w:eastAsia="仿宋_GB2312"/>
                      <w:sz w:val="20"/>
                      <w:color w:val="0000FF"/>
                    </w:rPr>
                    <w:t>每门课程专门制作一个预览小视频，时长</w:t>
                  </w:r>
                  <w:r>
                    <w:rPr>
                      <w:rFonts w:ascii="仿宋_GB2312" w:hAnsi="仿宋_GB2312" w:cs="仿宋_GB2312" w:eastAsia="仿宋_GB2312"/>
                      <w:sz w:val="20"/>
                      <w:color w:val="0000FF"/>
                    </w:rPr>
                    <w:t>3分钟以内，主要介绍课程内容、体系、教师等情况，不得出现与教学无关的内容。</w:t>
                  </w:r>
                </w:p>
                <w:p>
                  <w:pPr>
                    <w:pStyle w:val="null3"/>
                    <w:ind w:firstLine="400"/>
                    <w:jc w:val="left"/>
                  </w:pPr>
                  <w:r>
                    <w:rPr>
                      <w:rFonts w:ascii="仿宋_GB2312" w:hAnsi="仿宋_GB2312" w:cs="仿宋_GB2312" w:eastAsia="仿宋_GB2312"/>
                      <w:sz w:val="20"/>
                      <w:color w:val="0000FF"/>
                    </w:rPr>
                    <w:t>3.技术指标</w:t>
                  </w:r>
                </w:p>
                <w:p>
                  <w:pPr>
                    <w:pStyle w:val="null3"/>
                    <w:ind w:firstLine="400"/>
                    <w:jc w:val="left"/>
                  </w:pPr>
                  <w:r>
                    <w:rPr>
                      <w:rFonts w:ascii="仿宋_GB2312" w:hAnsi="仿宋_GB2312" w:cs="仿宋_GB2312" w:eastAsia="仿宋_GB2312"/>
                      <w:sz w:val="20"/>
                      <w:color w:val="0000FF"/>
                    </w:rPr>
                    <w:t>（</w:t>
                  </w:r>
                  <w:r>
                    <w:rPr>
                      <w:rFonts w:ascii="仿宋_GB2312" w:hAnsi="仿宋_GB2312" w:cs="仿宋_GB2312" w:eastAsia="仿宋_GB2312"/>
                      <w:sz w:val="20"/>
                      <w:color w:val="0000FF"/>
                    </w:rPr>
                    <w:t>1）视频信号源</w:t>
                  </w:r>
                </w:p>
                <w:p>
                  <w:pPr>
                    <w:pStyle w:val="null3"/>
                    <w:ind w:firstLine="400"/>
                    <w:jc w:val="left"/>
                  </w:pPr>
                  <w:r>
                    <w:rPr>
                      <w:rFonts w:ascii="仿宋_GB2312" w:hAnsi="仿宋_GB2312" w:cs="仿宋_GB2312" w:eastAsia="仿宋_GB2312"/>
                      <w:sz w:val="20"/>
                      <w:color w:val="0000FF"/>
                    </w:rPr>
                    <w:t>①</w:t>
                  </w:r>
                  <w:r>
                    <w:rPr>
                      <w:rFonts w:ascii="仿宋_GB2312" w:hAnsi="仿宋_GB2312" w:cs="仿宋_GB2312" w:eastAsia="仿宋_GB2312"/>
                      <w:sz w:val="20"/>
                      <w:color w:val="0000FF"/>
                    </w:rPr>
                    <w:t>稳定性：全片图像同步性能稳定，无失步现象，同步控制信号必须连续，图像无抖动跳跃，色彩无突变，编辑点处图像稳定。</w:t>
                  </w:r>
                </w:p>
                <w:p>
                  <w:pPr>
                    <w:pStyle w:val="null3"/>
                    <w:ind w:firstLine="400"/>
                    <w:jc w:val="left"/>
                  </w:pPr>
                  <w:r>
                    <w:rPr>
                      <w:rFonts w:ascii="仿宋_GB2312" w:hAnsi="仿宋_GB2312" w:cs="仿宋_GB2312" w:eastAsia="仿宋_GB2312"/>
                      <w:sz w:val="20"/>
                      <w:color w:val="0000FF"/>
                    </w:rPr>
                    <w:t>②</w:t>
                  </w:r>
                  <w:r>
                    <w:rPr>
                      <w:rFonts w:ascii="仿宋_GB2312" w:hAnsi="仿宋_GB2312" w:cs="仿宋_GB2312" w:eastAsia="仿宋_GB2312"/>
                      <w:sz w:val="20"/>
                      <w:color w:val="0000FF"/>
                    </w:rPr>
                    <w:t>信噪比：图像信噪比不低于</w:t>
                  </w:r>
                  <w:r>
                    <w:rPr>
                      <w:rFonts w:ascii="仿宋_GB2312" w:hAnsi="仿宋_GB2312" w:cs="仿宋_GB2312" w:eastAsia="仿宋_GB2312"/>
                      <w:sz w:val="20"/>
                      <w:color w:val="0000FF"/>
                    </w:rPr>
                    <w:t>55dB，无明显杂波。</w:t>
                  </w:r>
                </w:p>
                <w:p>
                  <w:pPr>
                    <w:pStyle w:val="null3"/>
                    <w:ind w:firstLine="400"/>
                    <w:jc w:val="left"/>
                  </w:pPr>
                  <w:r>
                    <w:rPr>
                      <w:rFonts w:ascii="仿宋_GB2312" w:hAnsi="仿宋_GB2312" w:cs="仿宋_GB2312" w:eastAsia="仿宋_GB2312"/>
                      <w:sz w:val="20"/>
                      <w:color w:val="0000FF"/>
                    </w:rPr>
                    <w:t>③</w:t>
                  </w:r>
                  <w:r>
                    <w:rPr>
                      <w:rFonts w:ascii="仿宋_GB2312" w:hAnsi="仿宋_GB2312" w:cs="仿宋_GB2312" w:eastAsia="仿宋_GB2312"/>
                      <w:sz w:val="20"/>
                      <w:color w:val="0000FF"/>
                    </w:rPr>
                    <w:t>色调：白平衡正确，无明显偏色，多机拍摄的镜头衔接处无明显色差。</w:t>
                  </w:r>
                </w:p>
                <w:p>
                  <w:pPr>
                    <w:pStyle w:val="null3"/>
                    <w:ind w:firstLine="400"/>
                    <w:jc w:val="left"/>
                  </w:pPr>
                  <w:r>
                    <w:rPr>
                      <w:rFonts w:ascii="仿宋_GB2312" w:hAnsi="仿宋_GB2312" w:cs="仿宋_GB2312" w:eastAsia="仿宋_GB2312"/>
                      <w:sz w:val="20"/>
                      <w:color w:val="0000FF"/>
                    </w:rPr>
                    <w:t>④</w:t>
                  </w:r>
                  <w:r>
                    <w:rPr>
                      <w:rFonts w:ascii="仿宋_GB2312" w:hAnsi="仿宋_GB2312" w:cs="仿宋_GB2312" w:eastAsia="仿宋_GB2312"/>
                      <w:sz w:val="20"/>
                      <w:color w:val="0000FF"/>
                    </w:rPr>
                    <w:t>视频电平：视频全讯号幅度为</w:t>
                  </w:r>
                  <w:r>
                    <w:rPr>
                      <w:rFonts w:ascii="仿宋_GB2312" w:hAnsi="仿宋_GB2312" w:cs="仿宋_GB2312" w:eastAsia="仿宋_GB2312"/>
                      <w:sz w:val="20"/>
                      <w:color w:val="0000FF"/>
                    </w:rPr>
                    <w:t>1Ⅴp-p，最大不超过1.1Ⅴp-p。其中，消隐电平为0V时，白电平幅度0.7Ⅴp-p，同步信号-0.3V，色同步信号幅度0.3Vp-p(以消隐线上下对称)，全片一致。</w:t>
                  </w:r>
                </w:p>
                <w:p>
                  <w:pPr>
                    <w:pStyle w:val="null3"/>
                    <w:ind w:firstLine="400"/>
                    <w:jc w:val="left"/>
                  </w:pPr>
                  <w:r>
                    <w:rPr>
                      <w:rFonts w:ascii="仿宋_GB2312" w:hAnsi="仿宋_GB2312" w:cs="仿宋_GB2312" w:eastAsia="仿宋_GB2312"/>
                      <w:sz w:val="20"/>
                      <w:color w:val="0000FF"/>
                    </w:rPr>
                    <w:t>（</w:t>
                  </w:r>
                  <w:r>
                    <w:rPr>
                      <w:rFonts w:ascii="仿宋_GB2312" w:hAnsi="仿宋_GB2312" w:cs="仿宋_GB2312" w:eastAsia="仿宋_GB2312"/>
                      <w:sz w:val="20"/>
                      <w:color w:val="0000FF"/>
                    </w:rPr>
                    <w:t>2）音频信号源</w:t>
                  </w:r>
                </w:p>
                <w:p>
                  <w:pPr>
                    <w:pStyle w:val="null3"/>
                    <w:ind w:firstLine="400"/>
                    <w:jc w:val="left"/>
                  </w:pPr>
                  <w:r>
                    <w:rPr>
                      <w:rFonts w:ascii="仿宋_GB2312" w:hAnsi="仿宋_GB2312" w:cs="仿宋_GB2312" w:eastAsia="仿宋_GB2312"/>
                      <w:sz w:val="20"/>
                      <w:color w:val="0000FF"/>
                    </w:rPr>
                    <w:t>①</w:t>
                  </w:r>
                  <w:r>
                    <w:rPr>
                      <w:rFonts w:ascii="仿宋_GB2312" w:hAnsi="仿宋_GB2312" w:cs="仿宋_GB2312" w:eastAsia="仿宋_GB2312"/>
                      <w:sz w:val="20"/>
                      <w:color w:val="0000FF"/>
                    </w:rPr>
                    <w:t>电平指标：</w:t>
                  </w:r>
                  <w:r>
                    <w:rPr>
                      <w:rFonts w:ascii="仿宋_GB2312" w:hAnsi="仿宋_GB2312" w:cs="仿宋_GB2312" w:eastAsia="仿宋_GB2312"/>
                      <w:sz w:val="20"/>
                      <w:color w:val="0000FF"/>
                    </w:rPr>
                    <w:t>-2db—-8db声音应无明显失真、放音过冲、过弱。</w:t>
                  </w:r>
                </w:p>
                <w:p>
                  <w:pPr>
                    <w:pStyle w:val="null3"/>
                    <w:ind w:firstLine="400"/>
                    <w:jc w:val="left"/>
                  </w:pPr>
                  <w:r>
                    <w:rPr>
                      <w:rFonts w:ascii="仿宋_GB2312" w:hAnsi="仿宋_GB2312" w:cs="仿宋_GB2312" w:eastAsia="仿宋_GB2312"/>
                      <w:sz w:val="20"/>
                      <w:color w:val="0000FF"/>
                    </w:rPr>
                    <w:t>②</w:t>
                  </w:r>
                  <w:r>
                    <w:rPr>
                      <w:rFonts w:ascii="仿宋_GB2312" w:hAnsi="仿宋_GB2312" w:cs="仿宋_GB2312" w:eastAsia="仿宋_GB2312"/>
                      <w:sz w:val="20"/>
                      <w:color w:val="0000FF"/>
                    </w:rPr>
                    <w:t>音频信噪比不低于</w:t>
                  </w:r>
                  <w:r>
                    <w:rPr>
                      <w:rFonts w:ascii="仿宋_GB2312" w:hAnsi="仿宋_GB2312" w:cs="仿宋_GB2312" w:eastAsia="仿宋_GB2312"/>
                      <w:sz w:val="20"/>
                      <w:color w:val="0000FF"/>
                    </w:rPr>
                    <w:t>48db。</w:t>
                  </w:r>
                </w:p>
                <w:p>
                  <w:pPr>
                    <w:pStyle w:val="null3"/>
                    <w:ind w:firstLine="400"/>
                    <w:jc w:val="left"/>
                  </w:pPr>
                  <w:r>
                    <w:rPr>
                      <w:rFonts w:ascii="仿宋_GB2312" w:hAnsi="仿宋_GB2312" w:cs="仿宋_GB2312" w:eastAsia="仿宋_GB2312"/>
                      <w:sz w:val="20"/>
                      <w:color w:val="0000FF"/>
                    </w:rPr>
                    <w:t>③</w:t>
                  </w:r>
                  <w:r>
                    <w:rPr>
                      <w:rFonts w:ascii="仿宋_GB2312" w:hAnsi="仿宋_GB2312" w:cs="仿宋_GB2312" w:eastAsia="仿宋_GB2312"/>
                      <w:sz w:val="20"/>
                      <w:color w:val="0000FF"/>
                    </w:rPr>
                    <w:t>声音和画面要求同步，无交流声或其他杂音等缺陷。</w:t>
                  </w:r>
                </w:p>
                <w:p>
                  <w:pPr>
                    <w:pStyle w:val="null3"/>
                    <w:ind w:firstLine="400"/>
                    <w:jc w:val="left"/>
                  </w:pPr>
                  <w:r>
                    <w:rPr>
                      <w:rFonts w:ascii="仿宋_GB2312" w:hAnsi="仿宋_GB2312" w:cs="仿宋_GB2312" w:eastAsia="仿宋_GB2312"/>
                      <w:sz w:val="20"/>
                      <w:color w:val="0000FF"/>
                    </w:rPr>
                    <w:t>④</w:t>
                  </w:r>
                  <w:r>
                    <w:rPr>
                      <w:rFonts w:ascii="仿宋_GB2312" w:hAnsi="仿宋_GB2312" w:cs="仿宋_GB2312" w:eastAsia="仿宋_GB2312"/>
                      <w:sz w:val="20"/>
                      <w:color w:val="0000FF"/>
                    </w:rPr>
                    <w:t>伴音清晰、饱满、圆润，无失真、噪声杂音干扰、音量忽大忽小现象。解说声与现场声无明显比例失调，解说声与背景音乐无明显比例失调。</w:t>
                  </w:r>
                </w:p>
                <w:p>
                  <w:pPr>
                    <w:pStyle w:val="null3"/>
                    <w:ind w:firstLine="400"/>
                    <w:jc w:val="both"/>
                  </w:pPr>
                  <w:r>
                    <w:rPr>
                      <w:rFonts w:ascii="仿宋_GB2312" w:hAnsi="仿宋_GB2312" w:cs="仿宋_GB2312" w:eastAsia="仿宋_GB2312"/>
                      <w:sz w:val="20"/>
                      <w:color w:val="0000FF"/>
                    </w:rPr>
                    <w:t>4.课程题库</w:t>
                  </w:r>
                </w:p>
                <w:p>
                  <w:pPr>
                    <w:pStyle w:val="null3"/>
                    <w:ind w:firstLine="400"/>
                    <w:jc w:val="both"/>
                  </w:pPr>
                  <w:r>
                    <w:rPr>
                      <w:rFonts w:ascii="仿宋_GB2312" w:hAnsi="仿宋_GB2312" w:cs="仿宋_GB2312" w:eastAsia="仿宋_GB2312"/>
                      <w:sz w:val="20"/>
                      <w:color w:val="0000FF"/>
                    </w:rPr>
                    <w:t>根据课程内容进行题库的制作，网络课程考核试卷按照</w:t>
                  </w:r>
                  <w:r>
                    <w:rPr>
                      <w:rFonts w:ascii="仿宋_GB2312" w:hAnsi="仿宋_GB2312" w:cs="仿宋_GB2312" w:eastAsia="仿宋_GB2312"/>
                      <w:sz w:val="20"/>
                      <w:color w:val="0000FF"/>
                    </w:rPr>
                    <w:t>“30 个单选题、10个多选题、10个判断题”的标准组卷，试题与题 库的比例按1:3的标准，即题库题量不少于“90个单选题、30个多选题、30个判断题”。</w:t>
                  </w:r>
                </w:p>
                <w:p>
                  <w:pPr>
                    <w:pStyle w:val="null3"/>
                    <w:ind w:firstLine="400"/>
                    <w:jc w:val="left"/>
                  </w:pPr>
                  <w:r>
                    <w:rPr>
                      <w:rFonts w:ascii="仿宋_GB2312" w:hAnsi="仿宋_GB2312" w:cs="仿宋_GB2312" w:eastAsia="仿宋_GB2312"/>
                      <w:sz w:val="20"/>
                      <w:color w:val="0000FF"/>
                    </w:rPr>
                    <w:t>（三）课件资源交付文件</w:t>
                  </w:r>
                </w:p>
                <w:p>
                  <w:pPr>
                    <w:pStyle w:val="null3"/>
                    <w:ind w:firstLine="400"/>
                    <w:jc w:val="left"/>
                  </w:pPr>
                  <w:r>
                    <w:rPr>
                      <w:rFonts w:ascii="仿宋_GB2312" w:hAnsi="仿宋_GB2312" w:cs="仿宋_GB2312" w:eastAsia="仿宋_GB2312"/>
                      <w:sz w:val="20"/>
                      <w:color w:val="0000FF"/>
                    </w:rPr>
                    <w:t>1．视频压缩格式及技术参数</w:t>
                  </w:r>
                </w:p>
                <w:p>
                  <w:pPr>
                    <w:pStyle w:val="null3"/>
                    <w:ind w:firstLine="400"/>
                    <w:jc w:val="left"/>
                  </w:pPr>
                  <w:r>
                    <w:rPr>
                      <w:rFonts w:ascii="仿宋_GB2312" w:hAnsi="仿宋_GB2312" w:cs="仿宋_GB2312" w:eastAsia="仿宋_GB2312"/>
                      <w:sz w:val="20"/>
                      <w:color w:val="0000FF"/>
                    </w:rPr>
                    <w:t>（</w:t>
                  </w:r>
                  <w:r>
                    <w:rPr>
                      <w:rFonts w:ascii="仿宋_GB2312" w:hAnsi="仿宋_GB2312" w:cs="仿宋_GB2312" w:eastAsia="仿宋_GB2312"/>
                      <w:sz w:val="20"/>
                      <w:color w:val="0000FF"/>
                    </w:rPr>
                    <w:t>1</w:t>
                  </w:r>
                  <w:r>
                    <w:rPr>
                      <w:rFonts w:ascii="仿宋_GB2312" w:hAnsi="仿宋_GB2312" w:cs="仿宋_GB2312" w:eastAsia="仿宋_GB2312"/>
                      <w:sz w:val="20"/>
                      <w:color w:val="0000FF"/>
                    </w:rPr>
                    <w:t>）</w:t>
                  </w:r>
                  <w:r>
                    <w:rPr>
                      <w:rFonts w:ascii="仿宋_GB2312" w:hAnsi="仿宋_GB2312" w:cs="仿宋_GB2312" w:eastAsia="仿宋_GB2312"/>
                      <w:sz w:val="20"/>
                      <w:color w:val="0000FF"/>
                    </w:rPr>
                    <w:t>视频压缩采用</w:t>
                  </w:r>
                  <w:r>
                    <w:rPr>
                      <w:rFonts w:ascii="仿宋_GB2312" w:hAnsi="仿宋_GB2312" w:cs="仿宋_GB2312" w:eastAsia="仿宋_GB2312"/>
                      <w:sz w:val="20"/>
                      <w:color w:val="0000FF"/>
                    </w:rPr>
                    <w:t>H.264编码的MP4格式。</w:t>
                  </w:r>
                </w:p>
                <w:p>
                  <w:pPr>
                    <w:pStyle w:val="null3"/>
                    <w:ind w:firstLine="400"/>
                    <w:jc w:val="left"/>
                  </w:pPr>
                  <w:r>
                    <w:rPr>
                      <w:rFonts w:ascii="仿宋_GB2312" w:hAnsi="仿宋_GB2312" w:cs="仿宋_GB2312" w:eastAsia="仿宋_GB2312"/>
                      <w:sz w:val="20"/>
                      <w:color w:val="0000FF"/>
                    </w:rPr>
                    <w:t>（</w:t>
                  </w:r>
                  <w:r>
                    <w:rPr>
                      <w:rFonts w:ascii="仿宋_GB2312" w:hAnsi="仿宋_GB2312" w:cs="仿宋_GB2312" w:eastAsia="仿宋_GB2312"/>
                      <w:sz w:val="20"/>
                      <w:color w:val="0000FF"/>
                    </w:rPr>
                    <w:t>2）视频码流率：动态码流的最高码率不高于1024kbps,最低码率不得低于码率800kbps。</w:t>
                  </w:r>
                </w:p>
                <w:p>
                  <w:pPr>
                    <w:pStyle w:val="null3"/>
                    <w:ind w:firstLine="400"/>
                    <w:jc w:val="left"/>
                  </w:pPr>
                  <w:r>
                    <w:rPr>
                      <w:rFonts w:ascii="仿宋_GB2312" w:hAnsi="仿宋_GB2312" w:cs="仿宋_GB2312" w:eastAsia="仿宋_GB2312"/>
                      <w:sz w:val="20"/>
                      <w:color w:val="0000FF"/>
                    </w:rPr>
                    <w:t>（</w:t>
                  </w:r>
                  <w:r>
                    <w:rPr>
                      <w:rFonts w:ascii="仿宋_GB2312" w:hAnsi="仿宋_GB2312" w:cs="仿宋_GB2312" w:eastAsia="仿宋_GB2312"/>
                      <w:sz w:val="20"/>
                      <w:color w:val="0000FF"/>
                    </w:rPr>
                    <w:t>3）视频分辨率</w:t>
                  </w:r>
                </w:p>
                <w:p>
                  <w:pPr>
                    <w:pStyle w:val="null3"/>
                    <w:ind w:firstLine="400"/>
                    <w:jc w:val="left"/>
                  </w:pPr>
                  <w:r>
                    <w:rPr>
                      <w:rFonts w:ascii="仿宋_GB2312" w:hAnsi="仿宋_GB2312" w:cs="仿宋_GB2312" w:eastAsia="仿宋_GB2312"/>
                      <w:sz w:val="20"/>
                      <w:color w:val="0000FF"/>
                    </w:rPr>
                    <w:t>前期采用高清</w:t>
                  </w:r>
                  <w:r>
                    <w:rPr>
                      <w:rFonts w:ascii="仿宋_GB2312" w:hAnsi="仿宋_GB2312" w:cs="仿宋_GB2312" w:eastAsia="仿宋_GB2312"/>
                      <w:sz w:val="20"/>
                      <w:color w:val="0000FF"/>
                    </w:rPr>
                    <w:t>16:9拍摄，分辨率不低于1280*720。在同一课程中，各讲的视频分辨率统一。</w:t>
                  </w:r>
                </w:p>
                <w:p>
                  <w:pPr>
                    <w:pStyle w:val="null3"/>
                    <w:ind w:firstLine="400"/>
                    <w:jc w:val="left"/>
                  </w:pPr>
                  <w:r>
                    <w:rPr>
                      <w:rFonts w:ascii="仿宋_GB2312" w:hAnsi="仿宋_GB2312" w:cs="仿宋_GB2312" w:eastAsia="仿宋_GB2312"/>
                      <w:sz w:val="20"/>
                      <w:color w:val="0000FF"/>
                    </w:rPr>
                    <w:t>（</w:t>
                  </w:r>
                  <w:r>
                    <w:rPr>
                      <w:rFonts w:ascii="仿宋_GB2312" w:hAnsi="仿宋_GB2312" w:cs="仿宋_GB2312" w:eastAsia="仿宋_GB2312"/>
                      <w:sz w:val="20"/>
                      <w:color w:val="0000FF"/>
                    </w:rPr>
                    <w:t>4）视频画幅宽高比</w:t>
                  </w:r>
                </w:p>
                <w:p>
                  <w:pPr>
                    <w:pStyle w:val="null3"/>
                    <w:ind w:firstLine="400"/>
                    <w:jc w:val="left"/>
                  </w:pPr>
                  <w:r>
                    <w:rPr>
                      <w:rFonts w:ascii="仿宋_GB2312" w:hAnsi="仿宋_GB2312" w:cs="仿宋_GB2312" w:eastAsia="仿宋_GB2312"/>
                      <w:sz w:val="20"/>
                      <w:color w:val="0000FF"/>
                    </w:rPr>
                    <w:t>推荐采用</w:t>
                  </w:r>
                  <w:r>
                    <w:rPr>
                      <w:rFonts w:ascii="仿宋_GB2312" w:hAnsi="仿宋_GB2312" w:cs="仿宋_GB2312" w:eastAsia="仿宋_GB2312"/>
                      <w:sz w:val="20"/>
                      <w:color w:val="0000FF"/>
                    </w:rPr>
                    <w:t>16:9。在同一课程中，各讲画幅的宽高比统一。</w:t>
                  </w:r>
                </w:p>
                <w:p>
                  <w:pPr>
                    <w:pStyle w:val="null3"/>
                    <w:ind w:firstLine="400"/>
                    <w:jc w:val="left"/>
                  </w:pPr>
                  <w:r>
                    <w:rPr>
                      <w:rFonts w:ascii="仿宋_GB2312" w:hAnsi="仿宋_GB2312" w:cs="仿宋_GB2312" w:eastAsia="仿宋_GB2312"/>
                      <w:sz w:val="20"/>
                      <w:color w:val="0000FF"/>
                    </w:rPr>
                    <w:t>（</w:t>
                  </w:r>
                  <w:r>
                    <w:rPr>
                      <w:rFonts w:ascii="仿宋_GB2312" w:hAnsi="仿宋_GB2312" w:cs="仿宋_GB2312" w:eastAsia="仿宋_GB2312"/>
                      <w:sz w:val="20"/>
                      <w:color w:val="0000FF"/>
                    </w:rPr>
                    <w:t>5）视频帧率为25帧/秒。</w:t>
                  </w:r>
                </w:p>
                <w:p>
                  <w:pPr>
                    <w:pStyle w:val="null3"/>
                    <w:ind w:firstLine="400"/>
                    <w:jc w:val="left"/>
                  </w:pPr>
                  <w:r>
                    <w:rPr>
                      <w:rFonts w:ascii="仿宋_GB2312" w:hAnsi="仿宋_GB2312" w:cs="仿宋_GB2312" w:eastAsia="仿宋_GB2312"/>
                      <w:sz w:val="20"/>
                      <w:color w:val="0000FF"/>
                    </w:rPr>
                    <w:t>（</w:t>
                  </w:r>
                  <w:r>
                    <w:rPr>
                      <w:rFonts w:ascii="仿宋_GB2312" w:hAnsi="仿宋_GB2312" w:cs="仿宋_GB2312" w:eastAsia="仿宋_GB2312"/>
                      <w:sz w:val="20"/>
                      <w:color w:val="0000FF"/>
                    </w:rPr>
                    <w:t>6）扫描方式采用逐行扫描。</w:t>
                  </w:r>
                </w:p>
                <w:p>
                  <w:pPr>
                    <w:pStyle w:val="null3"/>
                    <w:ind w:firstLine="400"/>
                    <w:jc w:val="left"/>
                  </w:pPr>
                  <w:r>
                    <w:rPr>
                      <w:rFonts w:ascii="仿宋_GB2312" w:hAnsi="仿宋_GB2312" w:cs="仿宋_GB2312" w:eastAsia="仿宋_GB2312"/>
                      <w:sz w:val="20"/>
                      <w:color w:val="0000FF"/>
                    </w:rPr>
                    <w:t>2．音频压缩格式及技术参数</w:t>
                  </w:r>
                </w:p>
                <w:p>
                  <w:pPr>
                    <w:pStyle w:val="null3"/>
                    <w:ind w:firstLine="400"/>
                    <w:jc w:val="left"/>
                  </w:pPr>
                  <w:r>
                    <w:rPr>
                      <w:rFonts w:ascii="仿宋_GB2312" w:hAnsi="仿宋_GB2312" w:cs="仿宋_GB2312" w:eastAsia="仿宋_GB2312"/>
                      <w:sz w:val="20"/>
                      <w:color w:val="0000FF"/>
                    </w:rPr>
                    <w:t>音频压缩采用</w:t>
                  </w:r>
                  <w:r>
                    <w:rPr>
                      <w:rFonts w:ascii="仿宋_GB2312" w:hAnsi="仿宋_GB2312" w:cs="仿宋_GB2312" w:eastAsia="仿宋_GB2312"/>
                      <w:sz w:val="20"/>
                      <w:color w:val="0000FF"/>
                    </w:rPr>
                    <w:t>AAC（MPEGPart3）格式，采样率48KHz,音频码流率不高于128kbps（恒定），必须是双声道，必须做混音处理。</w:t>
                  </w:r>
                </w:p>
                <w:p>
                  <w:pPr>
                    <w:pStyle w:val="null3"/>
                    <w:ind w:firstLine="400"/>
                    <w:jc w:val="left"/>
                  </w:pPr>
                  <w:r>
                    <w:rPr>
                      <w:rFonts w:ascii="仿宋_GB2312" w:hAnsi="仿宋_GB2312" w:cs="仿宋_GB2312" w:eastAsia="仿宋_GB2312"/>
                      <w:sz w:val="20"/>
                      <w:color w:val="0000FF"/>
                    </w:rPr>
                    <w:t>3．封装</w:t>
                  </w:r>
                </w:p>
                <w:p>
                  <w:pPr>
                    <w:pStyle w:val="null3"/>
                    <w:ind w:firstLine="400"/>
                    <w:jc w:val="left"/>
                  </w:pPr>
                  <w:r>
                    <w:rPr>
                      <w:rFonts w:ascii="仿宋_GB2312" w:hAnsi="仿宋_GB2312" w:cs="仿宋_GB2312" w:eastAsia="仿宋_GB2312"/>
                      <w:sz w:val="20"/>
                      <w:color w:val="0000FF"/>
                    </w:rPr>
                    <w:t>采用</w:t>
                  </w:r>
                  <w:r>
                    <w:rPr>
                      <w:rFonts w:ascii="仿宋_GB2312" w:hAnsi="仿宋_GB2312" w:cs="仿宋_GB2312" w:eastAsia="仿宋_GB2312"/>
                      <w:sz w:val="20"/>
                      <w:color w:val="0000FF"/>
                    </w:rPr>
                    <w:t>MP4封装（移动硬盘</w:t>
                  </w:r>
                  <w:r>
                    <w:rPr>
                      <w:rFonts w:ascii="仿宋_GB2312" w:hAnsi="仿宋_GB2312" w:cs="仿宋_GB2312" w:eastAsia="仿宋_GB2312"/>
                      <w:sz w:val="20"/>
                      <w:color w:val="0000FF"/>
                    </w:rPr>
                    <w:t>存储）。</w:t>
                  </w:r>
                </w:p>
                <w:p>
                  <w:pPr>
                    <w:pStyle w:val="null3"/>
                    <w:ind w:firstLine="400"/>
                    <w:jc w:val="left"/>
                  </w:pPr>
                  <w:r>
                    <w:rPr>
                      <w:rFonts w:ascii="仿宋_GB2312" w:hAnsi="仿宋_GB2312" w:cs="仿宋_GB2312" w:eastAsia="仿宋_GB2312"/>
                      <w:sz w:val="20"/>
                      <w:color w:val="0000FF"/>
                    </w:rPr>
                    <w:t>4.交付载体</w:t>
                  </w:r>
                </w:p>
                <w:p>
                  <w:pPr>
                    <w:pStyle w:val="null3"/>
                    <w:ind w:firstLine="400"/>
                    <w:jc w:val="left"/>
                  </w:pPr>
                  <w:r>
                    <w:rPr>
                      <w:rFonts w:ascii="仿宋_GB2312" w:hAnsi="仿宋_GB2312" w:cs="仿宋_GB2312" w:eastAsia="仿宋_GB2312"/>
                      <w:sz w:val="20"/>
                      <w:color w:val="0000FF"/>
                    </w:rPr>
                    <w:t>所有视频文件及相关文件请拷贝到移动硬盘上。</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详见技术参数与性能指标。</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详见技术参数与性能指标。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详见技术参数与性能指标。</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合同签订后15个日历日。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服务完成后，对实际的课程资源进行验收确认，确认且收到服务方开具的等额有效发票后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 1、按《民法典》中的相关条款执行。 2、除本合同约定，合同一经签订，不得擅自变更、中止或者终止合同。对确需变更、调整或者中止、终止合同的，应按规定履行相应的手续。 3、任何一方因不可抗力原因不能履行协议时，应尽快通知对方，双方均设法补偿。如仍无法履约协议，可协商延缓或撤销协议，双方责任免除。 4、乙方未按时完成服务内容的，每逾期一日，按照应付款项的千分之一向甲方支付违约金；逾期超过十五日的，甲方有权解除本合同。乙方应退还甲方已支付的全部款项，并按照合同总金额的20%向甲方支付违约金。 5、乙方应对所提供的服务，已取得合法知识产权或其使用权，并保证所提供的服务不会出现因第三方提出侵犯其版权、商标权或其它知识产权而引发法律或经济纠纷，否则由乙方负责解决并承担全部责任（包括但不限于甲方为解决此类纠纷支出的诉讼费/仲裁费、律师费及差旅费等）；如因此影响到甲方的正常使用，甲方有权单方解除本合同，乙方应无条件向甲方退回已收取的全部合同价款。 解决争议的方法： 本合同在履行过程中发生的争议，由甲、乙双方当事人协商解决，协商不成的按下列第2种方式解决： 1、提交当地仲裁委员会仲裁； 2、依法向甲方所在地人民法院起诉。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1.成交供应商在领取成交通知书时，须线下递交纸质版投标文件正本壹份、副本叁份、电子版壹份(投标文件内容与电子化交易平台上的内容一致)，纸质版投标文件在书脊处标注项目名称和项目编号。 2.如磋商文件中融资相关内容与新政策要求有出入，按照最新要求执行。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营业执照等主体资格证明文件：提供有效存续的企业营业执照（副本）/事业单位法人证书/专业服务机构执业许可证/民办非企业单位登记证书。自然人参与的提供身份证明；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法定代表人直接参加磋商的须提交法定代表人证明书；法定代表人授权代表参加磋商的，提供法定代表人授权书（附法定代表人、被授权人身份证复印件）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财务状况报告：提供2024年度或2025年度完整版的财务审计报告（成立时间至提交投标文件截止时间不足一年的可提供成立后任意时段的资产负债表），或投标时间前六个月内基本账户银行出具的资信证明；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税收缴纳证明：提供投标截止之日前一年内已缴纳的至少三个月的纳税证明或完税证明（任意税种），依法免税的单位应提供相关证明材料；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社会保障资金缴纳证明:提供投标截止之日前一年内已缴存的至少三个月的社会保障资金缴存单据或社保机构开具的社会保险参保缴费情况证明，依法不需要缴纳社会保障资金的单位应提供相关证明材料；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专业技术能力说明</w:t>
            </w:r>
          </w:p>
        </w:tc>
        <w:tc>
          <w:tcPr>
            <w:tcW w:type="dxa" w:w="3322"/>
          </w:tcPr>
          <w:p>
            <w:pPr>
              <w:pStyle w:val="null3"/>
            </w:pPr>
            <w:r>
              <w:rPr>
                <w:rFonts w:ascii="仿宋_GB2312" w:hAnsi="仿宋_GB2312" w:cs="仿宋_GB2312" w:eastAsia="仿宋_GB2312"/>
              </w:rPr>
              <w:t>专业技术能力说明:提供具有履行本合同所必需的设备和专业技术能力的说明及承诺书；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无重大违法说明</w:t>
            </w:r>
          </w:p>
        </w:tc>
        <w:tc>
          <w:tcPr>
            <w:tcW w:type="dxa" w:w="3322"/>
          </w:tcPr>
          <w:p>
            <w:pPr>
              <w:pStyle w:val="null3"/>
            </w:pPr>
            <w:r>
              <w:rPr>
                <w:rFonts w:ascii="仿宋_GB2312" w:hAnsi="仿宋_GB2312" w:cs="仿宋_GB2312" w:eastAsia="仿宋_GB2312"/>
              </w:rPr>
              <w:t>无重大违法说明:参加政府采购活动前3年内，在经营活动中没有重大违法记录的书面声明；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投标人无须提供，投标现场查询）</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控股关系承诺书</w:t>
            </w:r>
          </w:p>
        </w:tc>
        <w:tc>
          <w:tcPr>
            <w:tcW w:type="dxa" w:w="3322"/>
          </w:tcPr>
          <w:p>
            <w:pPr>
              <w:pStyle w:val="null3"/>
            </w:pPr>
            <w:r>
              <w:rPr>
                <w:rFonts w:ascii="仿宋_GB2312" w:hAnsi="仿宋_GB2312" w:cs="仿宋_GB2312" w:eastAsia="仿宋_GB2312"/>
              </w:rPr>
              <w:t>控股关系承诺书：单位负责人为同一人或存在直接控股、管理关系的不同单位，不得参加同一合同项下的政府采购活动；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非联合体承诺书</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有下列情形之一的，应在符合性审查时按照无效磋商处理： （1）磋商响应文件未按照磋商文件规定要求签署、盖章的； （2）不满足本磋商文件中“服务期限、服务地点、采购资金的支付方式及约定”的实质性条款要求的； （3）文件有效期不足的或无有效期的； （4）报价超过磋商文件中规定的预算金额或最高限价的； （5）其他实质性不符合的情况； （6）法律、法规和磋商文件规定的其他无效情形。</w:t>
            </w:r>
          </w:p>
        </w:tc>
        <w:tc>
          <w:tcPr>
            <w:tcW w:type="dxa" w:w="1661"/>
          </w:tcPr>
          <w:p>
            <w:pPr>
              <w:pStyle w:val="null3"/>
            </w:pPr>
            <w:r>
              <w:rPr>
                <w:rFonts w:ascii="仿宋_GB2312" w:hAnsi="仿宋_GB2312" w:cs="仿宋_GB2312" w:eastAsia="仿宋_GB2312"/>
              </w:rPr>
              <w:t>技术要求偏离表.docx 业绩一览表.docx 中小企业声明函 报价表 商务应答表.docx 响应文件封面 分项报价表.docx 供应商应提交的相关资格证明材料.docx 残疾人福利性单位声明函 供应商认为有必要说明的其他问题.docx 标的清单 响应函 服务方案.docx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供应商提供针对本项目的理解方案。 1、充分理解本项目服务需求，对项目现状和整体认知的理解，思路清晰明确得7分； 2、理解方案有针对性，但还有可以优化空间得4分； 3、方案内容有缺陷、表述前后不一致、套用其他项目方案或与项目需求不匹配等得1分； 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一、评审内容 针对本项目详细列明总体方案，内容包括但不限于：①课程设计②录制及拍摄策划③片头片尾策划④添加字幕⑤课程预览小视频制作方案⑥课程题库设计及制作⑦课件资源交付⑧项目投入设备。 二、评审标准 1、完整性：方案必须全面，对评审内容中的各项要求有详细描述； 2、可实施性：切合本项目实际情况，提出步骤清晰、合理的方案； 3、针对性：方案能够紧扣项目实际情况，内容科学合理。 上述8项评审内容每满足一项评审标准得1分，满分24分。 每项评审内容或每项评审标准存在“瑕疵”的扣0.5分，扣完为止。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 未提供不得分。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一、评审内容 针对本项目技术指标具有详细、具体、可行的技术方案，内容包括但不限于：①视频信号源②音频信号源。 二、评审标准 1、完整性：方案必须全面，对评审内容中的各项指标要求有详细描述且无负偏离； 2、适用性：切合本项目实际情况及技术指标中各项要求，提出适用性强且合理的方案； 3、针对性：方案能够紧扣项目实际情况，内容科学合理。 上述2项评审内容每满足一项评审标准得1.5分，满分9分。 每项评审内容或每项评审标准存在“瑕疵”的扣1分，扣完为止。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 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课件资源交付方案</w:t>
            </w:r>
          </w:p>
        </w:tc>
        <w:tc>
          <w:tcPr>
            <w:tcW w:type="dxa" w:w="2492"/>
          </w:tcPr>
          <w:p>
            <w:pPr>
              <w:pStyle w:val="null3"/>
            </w:pPr>
            <w:r>
              <w:rPr>
                <w:rFonts w:ascii="仿宋_GB2312" w:hAnsi="仿宋_GB2312" w:cs="仿宋_GB2312" w:eastAsia="仿宋_GB2312"/>
              </w:rPr>
              <w:t>一、评审内容 针对本项目课件资源交付文件的要求及技术参数提供详细、具体、可行的方案。 二、评审标准 1、完整性：方案必须全面，对评审内容中的各项指标要求有详细描述且无负偏离； 2、适用性：切合本项目实际情况及各项要求，提出适用性强且合理的方案； 3、针对性：方案能够紧扣项目实际情况，内容科学合理。 上述1项评审内容每满足一项评审标准得3分，满分9分。 每项评审内容或每项评审标准存在“瑕疵”的扣1分，扣完为止。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w:t>
            </w:r>
          </w:p>
        </w:tc>
        <w:tc>
          <w:tcPr>
            <w:tcW w:type="dxa" w:w="2492"/>
          </w:tcPr>
          <w:p>
            <w:pPr>
              <w:pStyle w:val="null3"/>
            </w:pPr>
            <w:r>
              <w:rPr>
                <w:rFonts w:ascii="仿宋_GB2312" w:hAnsi="仿宋_GB2312" w:cs="仿宋_GB2312" w:eastAsia="仿宋_GB2312"/>
              </w:rPr>
              <w:t>1、项目负责人具备类似项目服务经验（提供项目负责人履历表、身份证复印件、学历、本单位近三个月的社保缴纳证明）得2分；缺少一个不得分； 2、项目其他成员（不包含项目负责人），如编导、摄像师、教学设计师等，需具备类似项目服务经验，提供1个得1分，最高得5分；未提供不得分。 备注：供应商需对以上人员的从业工作年限、年龄、学历、职业经历等进行详细的描述，未按要求进行描述的不得分）。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1、供应商需提供有效期内的广播电视节目制作经营许可证，得1分；不提供不得分。 2、供应商需提供有效期内的职业健康安全管理体系、质量管理体系，每提供1个得1分，最高得2分；不提供不得分。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现场演示</w:t>
            </w:r>
          </w:p>
        </w:tc>
        <w:tc>
          <w:tcPr>
            <w:tcW w:type="dxa" w:w="2492"/>
          </w:tcPr>
          <w:p>
            <w:pPr>
              <w:pStyle w:val="null3"/>
            </w:pPr>
            <w:r>
              <w:rPr>
                <w:rFonts w:ascii="仿宋_GB2312" w:hAnsi="仿宋_GB2312" w:cs="仿宋_GB2312" w:eastAsia="仿宋_GB2312"/>
              </w:rPr>
              <w:t>根据演示样片的制作思路是否清晰，样片设计以及后期制作的技术性能进行打分。 供应商提供一门已制作完成的课程样片进行展示，为后续课程建设提供参考，并承诺为采购人制作的视频不低于现场演示视频的制作水平。 1、样片无知识性和常识性错误，画面清晰，构图合理，声音干净无杂音，特效使用合理，画面设计简洁美观，得9分； 2、样片无知识性和常识性错误，画面清晰度不高，声音无杂音，构图不够合理严谨，无特效，得6分； 3、样片存在知识性和常识性错误，有杂音，无特效，画面设计差，得3分；未演示不得分； 演示时长：现场演示，演示时间不得超过10分钟，供应商自带笔记本电脑及附属设备。</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1、供应商提供的课程资源渠道正常，确保供应的产品无产权纠纷，需提供承诺书，得2分。未提供不得分。 2、承诺每类专业课程需提供不少于50个课时供采购人选择，需提供承诺书，得2分。未提供不得分。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提供2023年04月1日至今类似项目业绩，每提供一份得2分,最高得8分。未提供不得分。 备注：以合同签订日期（具体到某年某月某日）为准附有业绩合同复印件加盖公章作为证明材料。</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满足磋商文件要求且最后报价最低的供应商的价格为评审基准价，其价格分为满分。其他供应商的价格分统一按照下列公式计算：投标报价得分=（评审基准价/最后磋商报价）×价格权值×100%。 注：磋商报价不完整的，不进入评标基准价的计算，本项得0分。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详见附件：技术要求偏离表.docx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详见附件：供应商认为有必要说明的其他问题.docx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