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版本号：ZCXG-ZB-202601920260410001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西安秦岭生态保护推广、“秦小卫”数字IP综合传播项目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ZCXG-ZB-2026019</w:t>
      </w:r>
      <w:r>
        <w:br/>
      </w:r>
      <w:r>
        <w:br/>
      </w:r>
      <w:r>
        <w:br/>
      </w:r>
    </w:p>
    <w:p>
      <w:pPr>
        <w:pStyle w:val="null3"/>
        <w:jc w:val="center"/>
        <w:outlineLvl w:val="5"/>
      </w:pPr>
      <w:r>
        <w:rPr>
          <w:rFonts w:ascii="仿宋_GB2312" w:hAnsi="仿宋_GB2312" w:cs="仿宋_GB2312" w:eastAsia="仿宋_GB2312"/>
          <w:sz w:val="15"/>
          <w:b/>
        </w:rPr>
        <w:t>西安市秦岭生态环境保护管理局（本级）</w:t>
      </w:r>
    </w:p>
    <w:p>
      <w:pPr>
        <w:pStyle w:val="null3"/>
        <w:jc w:val="center"/>
        <w:outlineLvl w:val="5"/>
      </w:pPr>
      <w:r>
        <w:rPr>
          <w:rFonts w:ascii="仿宋_GB2312" w:hAnsi="仿宋_GB2312" w:cs="仿宋_GB2312" w:eastAsia="仿宋_GB2312"/>
          <w:sz w:val="15"/>
          <w:b/>
        </w:rPr>
        <w:t>陕西众诚项目管理有限公司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西安秦岭生态保护推广、“秦小卫”数字IP综合传播项目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ZCXG-ZB-2026019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西安秦岭生态保护推广、“秦小卫”数字IP综合传播项目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秦岭生态保护推广、“秦小卫”数字IP综合传播项目，通过塑造“秦小卫”数字IP，将秦岭生态保护的政治要求转化为社会公众可直观感知的生动形象。项目聚焦理念传播与文化赋能，将秦岭的生态价值和保护理念融入“秦小卫”数字IP，通过加入新华社品牌工程、全球征集大赛、文创产品、巡展活动等形式，采用符合时代语境的数字文化和创新方式进行传播，汇聚全民守护秦岭生态环境的共识和合力。</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完整财务报告（成立时间至提交响应文件截止时间不足一年的可提供成立后任意时段的资产负债表），或其协商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10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4、社保缴纳证明：提供2025年10月至今已缴存任意一个月社会保障资金缴存单据或社保机构开具的社会保险参保缴费证明，依法不需要缴纳社会保障资金的单位应提供相应证明文件。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定代表人授权委托书：法定代表人直接参加协商的，须出具法人身份证，并与营业执照上信息一致。法定代表人授权代表参加协商的，须出具法定代表人授权书及授权代表身份证、授权代表本单位证明（协商前三个月内任意一个月的个人养老保险缴纳证明）。</w:t>
      </w:r>
    </w:p>
    <w:p>
      <w:pPr>
        <w:pStyle w:val="null3"/>
      </w:pPr>
      <w:r>
        <w:rPr>
          <w:rFonts w:ascii="仿宋_GB2312" w:hAnsi="仿宋_GB2312" w:cs="仿宋_GB2312" w:eastAsia="仿宋_GB2312"/>
        </w:rPr>
        <w:t>8、本项目不接受联合体投标，不允许分包：供应商提供《非联合体不分包投标声明》，视为独立投标，不分包。</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西安市长安区关中环线子午段2345号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029-89801353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陕西省西安市雁塔区陕西省西安市雁塔区南二环路西段88号老三界8楼K座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张航帆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采购包1：6,627,000.00元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采购包1：6,627,000.00元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代理服务费收费标准：采购代理服务费参照《国家计委关于印发&lt;招标代理服务收费管理暂行办法&gt;的通知》（计价格[2002]1980号）和（发改办价格[2011]534号）规定标准收取。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招标文件、中标人的投标文件及澄清（承诺）函、合同及国家相应的标准、规范等。</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秦岭生态保护推广、“秦小卫”数字IP综合传播项目，通过塑造“秦小卫”数字IP，将秦岭生态保护的政治要求转化为社会公众可直观感知的生动形象。项目聚焦理念传播与文化赋能，将秦岭的生态价值和保护理念融入“秦小卫”数字IP，通过加入新华社品牌工程、全球征集大赛、文创产品、巡展活动等形式，采用符合时代语境的数字文化和创新方式进行传播，汇聚全民守护秦岭生态环境的共识和合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6,627,000.00</w:t>
      </w:r>
    </w:p>
    <w:p>
      <w:pPr>
        <w:pStyle w:val="null3"/>
      </w:pPr>
      <w:r>
        <w:rPr>
          <w:rFonts w:ascii="仿宋_GB2312" w:hAnsi="仿宋_GB2312" w:cs="仿宋_GB2312" w:eastAsia="仿宋_GB2312"/>
        </w:rPr>
        <w:t>采购包最高限价（元）: 6,627,000.00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宣传推广服务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6,627,000.00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标的名称：宣传推广服务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sz w:val="21"/>
                <w:b/>
              </w:rPr>
              <w:t>项目概况：</w:t>
            </w:r>
          </w:p>
          <w:p>
            <w:pPr>
              <w:pStyle w:val="null3"/>
            </w:pPr>
            <w:r>
              <w:rPr>
                <w:rFonts w:ascii="仿宋_GB2312" w:hAnsi="仿宋_GB2312" w:cs="仿宋_GB2312" w:eastAsia="仿宋_GB2312"/>
                <w:sz w:val="21"/>
              </w:rPr>
              <w:t xml:space="preserve">         西安秦岭生态保护推广、“秦小卫”数字IP综合传播项目，通过塑造“秦小卫”数字IP，将秦岭生态保护的政治要求转化为社会公众可直观感知的生动形象。项目聚焦理念传播与文化赋能，将秦岭的生态价值和保护理念融入“秦小卫”数字IP，通过加入新华社品牌工程、全球征集大赛、文创产品、巡展活动等形式，采用符合时代语境的数字文化和创新方式进行传播，汇聚全民守护秦岭生态环境的共识和合力。</w:t>
            </w:r>
          </w:p>
          <w:p>
            <w:pPr>
              <w:pStyle w:val="null3"/>
            </w:pPr>
            <w:r>
              <w:rPr>
                <w:rFonts w:ascii="仿宋_GB2312" w:hAnsi="仿宋_GB2312" w:cs="仿宋_GB2312" w:eastAsia="仿宋_GB2312"/>
                <w:b/>
              </w:rPr>
              <w:t>二、</w:t>
            </w:r>
            <w:r>
              <w:rPr>
                <w:rFonts w:ascii="仿宋_GB2312" w:hAnsi="仿宋_GB2312" w:cs="仿宋_GB2312" w:eastAsia="仿宋_GB2312"/>
                <w:b/>
              </w:rPr>
              <w:t>采购内容</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1.“秦小卫”加入新华社品牌工程签约：通过加入新华社品牌工程，将“秦小卫”数字IP及其代表的秦岭保护实践推向世界，打造“中国生态名片”。</w:t>
            </w:r>
          </w:p>
          <w:p>
            <w:pPr>
              <w:pStyle w:val="null3"/>
              <w:ind w:firstLine="420"/>
              <w:jc w:val="both"/>
            </w:pPr>
            <w:r>
              <w:rPr>
                <w:rFonts w:ascii="仿宋_GB2312" w:hAnsi="仿宋_GB2312" w:cs="仿宋_GB2312" w:eastAsia="仿宋_GB2312"/>
                <w:sz w:val="21"/>
              </w:rPr>
              <w:t>2.“秦小卫”数字IP全球征集大赛：面向全社会征集“秦小卫”数字IP形象，汇聚顶尖创意，确保形象兼具秦岭生态文化内涵与国际审美视野，评选出最具代表性的秦岭卫士精神IP形象，并构建IP素材库。</w:t>
            </w:r>
          </w:p>
          <w:p>
            <w:pPr>
              <w:pStyle w:val="null3"/>
              <w:ind w:firstLine="420"/>
              <w:jc w:val="both"/>
            </w:pPr>
            <w:r>
              <w:rPr>
                <w:rFonts w:ascii="仿宋_GB2312" w:hAnsi="仿宋_GB2312" w:cs="仿宋_GB2312" w:eastAsia="仿宋_GB2312"/>
                <w:sz w:val="21"/>
              </w:rPr>
              <w:t>3.首批文创产品开发推广：开发“秦小卫”数字IP文创产品，如盲盒手办、国潮玩偶等，秉持“环保、实用、文化”原则，使秦岭生态保护理念融入日常生活，并探索文创收益反哺生态修复的路径。</w:t>
            </w:r>
          </w:p>
          <w:p>
            <w:pPr>
              <w:pStyle w:val="null3"/>
              <w:ind w:firstLine="420"/>
              <w:jc w:val="both"/>
            </w:pPr>
            <w:r>
              <w:rPr>
                <w:rFonts w:ascii="仿宋_GB2312" w:hAnsi="仿宋_GB2312" w:cs="仿宋_GB2312" w:eastAsia="仿宋_GB2312"/>
                <w:sz w:val="21"/>
              </w:rPr>
              <w:t>4.“秦小卫”数字IP巡展活动：在西安市内中小学开展“秦小卫”数字IP巡展，以青少年为重点对象，通过沉浸式、互动性活动，构建“小手拉大手”的全民参与机制。</w:t>
            </w:r>
          </w:p>
          <w:p>
            <w:pPr>
              <w:pStyle w:val="null3"/>
            </w:pPr>
            <w:r>
              <w:rPr>
                <w:rFonts w:ascii="仿宋_GB2312" w:hAnsi="仿宋_GB2312" w:cs="仿宋_GB2312" w:eastAsia="仿宋_GB2312"/>
                <w:sz w:val="21"/>
              </w:rPr>
              <w:t xml:space="preserve">         5.传播服务：依托新华社权威资源与广泛影响力，通过多媒体信息服务、融媒体专题、媒体矩阵及互联网平台等多种方式，持续放大“秦岭生态保护”主题声量。</w:t>
            </w:r>
          </w:p>
          <w:p>
            <w:pPr>
              <w:pStyle w:val="null3"/>
            </w:pPr>
            <w:r>
              <w:rPr>
                <w:rFonts w:ascii="仿宋_GB2312" w:hAnsi="仿宋_GB2312" w:cs="仿宋_GB2312" w:eastAsia="仿宋_GB2312"/>
                <w:b/>
              </w:rPr>
              <w:t>三、采购需求</w:t>
            </w:r>
          </w:p>
          <w:p>
            <w:pPr>
              <w:pStyle w:val="null3"/>
            </w:pPr>
            <w:r>
              <w:rPr>
                <w:rFonts w:ascii="仿宋_GB2312" w:hAnsi="仿宋_GB2312" w:cs="仿宋_GB2312" w:eastAsia="仿宋_GB2312"/>
                <w:sz w:val="21"/>
              </w:rPr>
              <w:t xml:space="preserve">         需完成</w:t>
            </w:r>
            <w:r>
              <w:rPr>
                <w:rFonts w:ascii="仿宋_GB2312" w:hAnsi="仿宋_GB2312" w:cs="仿宋_GB2312" w:eastAsia="仿宋_GB2312"/>
                <w:sz w:val="21"/>
              </w:rPr>
              <w:t>“秦小卫”数字IP的顶层设计、全球传播发布与初步实体化，实现“从无到有、从概念到形象”的关键跨越。具体包括：塑造具有广泛认同感的IP形象；通过高规格活动提升IP的权威性与知名度；以文创产品和活动为载体，为形象深度运营奠定坚实基础。</w:t>
            </w:r>
          </w:p>
          <w:p>
            <w:pPr>
              <w:pStyle w:val="null3"/>
            </w:pPr>
            <w:r>
              <w:rPr>
                <w:rFonts w:ascii="仿宋_GB2312" w:hAnsi="仿宋_GB2312" w:cs="仿宋_GB2312" w:eastAsia="仿宋_GB2312"/>
                <w:b/>
              </w:rPr>
              <w:t>四、项目目标</w:t>
            </w:r>
          </w:p>
          <w:p>
            <w:pPr>
              <w:pStyle w:val="null3"/>
            </w:pPr>
            <w:r>
              <w:rPr>
                <w:rFonts w:ascii="仿宋_GB2312" w:hAnsi="仿宋_GB2312" w:cs="仿宋_GB2312" w:eastAsia="仿宋_GB2312"/>
                <w:sz w:val="21"/>
              </w:rPr>
              <w:t xml:space="preserve">         通过构建</w:t>
            </w:r>
            <w:r>
              <w:rPr>
                <w:rFonts w:ascii="仿宋_GB2312" w:hAnsi="仿宋_GB2312" w:cs="仿宋_GB2312" w:eastAsia="仿宋_GB2312"/>
                <w:sz w:val="21"/>
              </w:rPr>
              <w:t>“秦小卫”数字IP体系，将秦岭生态文化内涵与保护价值转化为可感知、可传播的载体，以实际行动当好秦岭卫士，筑牢国家生态安全屏障。以数字IP为载体传播秦岭生态文化与中国生态文明理念，提升全球影响力，构建全民参与的秦岭保护长效机制，打造具有国际影响力的生态名片，通过数字IP运营、文创产品开发、品牌推广等举措，全面讲好秦岭保护故事，广泛传播生态文明理念。</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根据采购需求配备设备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自合同签订之日起，服务期时长为1年。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第一阶段合同签订后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完成加入新华社品牌工程签约仪式后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完成中期评估验收后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本合同在履行过程中发生的争议，由甲、乙双方当事人协商解决，协商不成的按下列第（二）种方式解决: （一）提交西安仲裁委员会仲裁; （二）依法向甲方所在地人民法院起诉。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1.本项目所属行业为：其他未列明行业。 2.中标/成交供应商在中标结果发布后3个工作日内，需提交与电子化平台提交内容一致的签字盖章后的纸质版投标文件，正本壹份、副本叁份，纸质投标文件标明供应商名称。若线上电子投标文件与纸质投标文件不一致的，以线上电子投标文件为准；若正本和副本不符，以正本为准。3.本项目实施过程中所产生（包括但不限于知识产权、数据资料、装备、设备、固定资产等）归采购方所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成立时间至提交响应文件截止时间不足一年的可提供成立后任意时段的资产负债表），或其协商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成立时间至提交响应文件截止时间不足一年的可提供成立后任意时段的资产负债表），或其协商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提供2025年10月至今已缴存任意一个月社会保障资金缴存单据或社保机构开具的社会保险参保缴费证明，依法不需要缴纳社会保障资金的单位应提供相应证明文件。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协商的，须出具法人身份证，并与营业执照上信息一致。法定代表人授权代表参加协商的，须出具法定代表人授权书及授权代表身份证、授权代表本单位证明（协商前三个月内任意一个月的个人养老保险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报价不得超过本项目采购预算/最高限价</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详见附件：【4.14】修订版-新华社品牌工程合作协议.docx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