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F5CF71">
      <w:pPr>
        <w:spacing w:line="560" w:lineRule="exact"/>
        <w:jc w:val="center"/>
        <w:rPr>
          <w:rFonts w:ascii="宋体" w:hAnsi="宋体" w:cs="宋体"/>
          <w:b/>
          <w:bCs/>
          <w:sz w:val="36"/>
          <w:szCs w:val="36"/>
        </w:rPr>
      </w:pPr>
      <w:bookmarkStart w:id="1" w:name="_GoBack"/>
      <w:bookmarkEnd w:id="1"/>
    </w:p>
    <w:p w14:paraId="4230D7C6">
      <w:pPr>
        <w:spacing w:line="560" w:lineRule="exact"/>
        <w:jc w:val="center"/>
        <w:rPr>
          <w:rFonts w:ascii="宋体" w:hAnsi="宋体" w:cs="宋体"/>
          <w:b/>
          <w:bCs/>
          <w:sz w:val="36"/>
          <w:szCs w:val="36"/>
        </w:rPr>
      </w:pPr>
      <w:r>
        <w:rPr>
          <w:rFonts w:hint="eastAsia" w:ascii="宋体" w:hAnsi="宋体" w:cs="宋体"/>
          <w:b/>
          <w:bCs/>
          <w:sz w:val="36"/>
          <w:szCs w:val="36"/>
        </w:rPr>
        <w:t>新华社品牌工程合作协议</w:t>
      </w:r>
    </w:p>
    <w:p w14:paraId="093FD063">
      <w:pPr>
        <w:spacing w:line="560" w:lineRule="exact"/>
        <w:rPr>
          <w:rFonts w:ascii="仿宋_GB2312" w:hAnsi="宋体" w:eastAsia="仿宋_GB2312"/>
          <w:sz w:val="32"/>
          <w:szCs w:val="32"/>
        </w:rPr>
      </w:pPr>
    </w:p>
    <w:p w14:paraId="516DAB56">
      <w:pPr>
        <w:spacing w:line="560" w:lineRule="exact"/>
        <w:rPr>
          <w:rFonts w:ascii="仿宋_GB2312" w:hAnsi="宋体" w:eastAsia="仿宋_GB2312"/>
          <w:sz w:val="32"/>
          <w:szCs w:val="32"/>
        </w:rPr>
      </w:pPr>
      <w:r>
        <w:rPr>
          <w:rFonts w:hint="eastAsia" w:ascii="仿宋_GB2312" w:hAnsi="宋体" w:eastAsia="仿宋_GB2312"/>
          <w:sz w:val="32"/>
          <w:szCs w:val="32"/>
        </w:rPr>
        <w:t>甲方：新华通讯社新闻信息中心（以下简称为“甲方”）</w:t>
      </w:r>
    </w:p>
    <w:p w14:paraId="4F1629D4">
      <w:pPr>
        <w:spacing w:line="560" w:lineRule="exact"/>
        <w:rPr>
          <w:rFonts w:ascii="仿宋_GB2312" w:hAnsi="宋体" w:eastAsia="仿宋_GB2312"/>
          <w:sz w:val="32"/>
          <w:szCs w:val="32"/>
        </w:rPr>
      </w:pPr>
      <w:r>
        <w:rPr>
          <w:rFonts w:hint="eastAsia" w:ascii="仿宋_GB2312" w:hAnsi="宋体" w:eastAsia="仿宋_GB2312"/>
          <w:sz w:val="32"/>
          <w:szCs w:val="32"/>
        </w:rPr>
        <w:t>地址：北京市西城区宣武门外大街甲1号</w:t>
      </w:r>
    </w:p>
    <w:p w14:paraId="41A127C4">
      <w:pPr>
        <w:spacing w:line="560" w:lineRule="exact"/>
        <w:rPr>
          <w:rFonts w:ascii="仿宋_GB2312" w:hAnsi="宋体" w:eastAsia="仿宋_GB2312"/>
          <w:sz w:val="32"/>
          <w:szCs w:val="32"/>
        </w:rPr>
      </w:pPr>
      <w:r>
        <w:rPr>
          <w:rFonts w:hint="eastAsia" w:ascii="仿宋_GB2312" w:hAnsi="宋体" w:eastAsia="仿宋_GB2312"/>
          <w:sz w:val="32"/>
          <w:szCs w:val="32"/>
        </w:rPr>
        <w:t xml:space="preserve">联系人：姚伟     </w:t>
      </w:r>
    </w:p>
    <w:p w14:paraId="24127142">
      <w:pPr>
        <w:spacing w:line="560" w:lineRule="exact"/>
        <w:rPr>
          <w:rFonts w:ascii="仿宋_GB2312" w:hAnsi="宋体" w:eastAsia="仿宋_GB2312"/>
          <w:sz w:val="32"/>
          <w:szCs w:val="32"/>
        </w:rPr>
      </w:pPr>
      <w:r>
        <w:rPr>
          <w:rFonts w:hint="eastAsia" w:ascii="仿宋_GB2312" w:hAnsi="宋体" w:eastAsia="仿宋_GB2312"/>
          <w:sz w:val="32"/>
          <w:szCs w:val="32"/>
        </w:rPr>
        <w:t>电话：010-88058636</w:t>
      </w:r>
    </w:p>
    <w:p w14:paraId="6B074D9F">
      <w:pPr>
        <w:spacing w:line="560" w:lineRule="exact"/>
        <w:rPr>
          <w:rFonts w:ascii="仿宋_GB2312" w:hAnsi="宋体" w:eastAsia="仿宋_GB2312"/>
          <w:sz w:val="32"/>
          <w:szCs w:val="32"/>
        </w:rPr>
      </w:pPr>
    </w:p>
    <w:p w14:paraId="170D7515">
      <w:pPr>
        <w:spacing w:line="560" w:lineRule="exact"/>
        <w:ind w:firstLine="640" w:firstLineChars="200"/>
        <w:rPr>
          <w:rFonts w:ascii="仿宋_GB2312" w:hAnsi="宋体" w:eastAsia="仿宋_GB2312"/>
          <w:sz w:val="32"/>
          <w:szCs w:val="32"/>
        </w:rPr>
      </w:pPr>
    </w:p>
    <w:p w14:paraId="690687EF">
      <w:pPr>
        <w:spacing w:line="560" w:lineRule="exact"/>
        <w:rPr>
          <w:rFonts w:ascii="仿宋_GB2312" w:hAnsi="宋体" w:eastAsia="仿宋_GB2312"/>
          <w:sz w:val="32"/>
          <w:szCs w:val="32"/>
        </w:rPr>
      </w:pPr>
      <w:r>
        <w:rPr>
          <w:rFonts w:hint="eastAsia" w:ascii="仿宋_GB2312" w:hAnsi="宋体" w:eastAsia="仿宋_GB2312"/>
          <w:sz w:val="32"/>
          <w:szCs w:val="32"/>
        </w:rPr>
        <w:t>乙方：西安市秦岭生态环境保护管理局（以下简称为“乙方”）</w:t>
      </w:r>
    </w:p>
    <w:p w14:paraId="6B70FDB1">
      <w:pPr>
        <w:spacing w:line="560" w:lineRule="exact"/>
        <w:rPr>
          <w:rFonts w:ascii="仿宋_GB2312" w:hAnsi="宋体" w:eastAsia="仿宋_GB2312"/>
          <w:sz w:val="32"/>
          <w:szCs w:val="32"/>
        </w:rPr>
      </w:pPr>
      <w:r>
        <w:rPr>
          <w:rFonts w:hint="eastAsia" w:ascii="仿宋_GB2312" w:hAnsi="宋体" w:eastAsia="仿宋_GB2312"/>
          <w:sz w:val="32"/>
          <w:szCs w:val="32"/>
        </w:rPr>
        <w:t xml:space="preserve">地址：西安市长安区关中环线子午段2345号            </w:t>
      </w:r>
    </w:p>
    <w:p w14:paraId="332C28C9">
      <w:pPr>
        <w:spacing w:line="560" w:lineRule="exact"/>
        <w:rPr>
          <w:rFonts w:ascii="仿宋_GB2312" w:hAnsi="宋体" w:eastAsia="仿宋_GB2312"/>
          <w:sz w:val="32"/>
          <w:szCs w:val="32"/>
        </w:rPr>
      </w:pPr>
      <w:r>
        <w:rPr>
          <w:rFonts w:hint="eastAsia" w:ascii="仿宋_GB2312" w:hAnsi="宋体" w:eastAsia="仿宋_GB2312"/>
          <w:sz w:val="32"/>
          <w:szCs w:val="32"/>
        </w:rPr>
        <w:t xml:space="preserve">联系人：叶静 </w:t>
      </w:r>
    </w:p>
    <w:p w14:paraId="38848400">
      <w:pPr>
        <w:spacing w:line="560" w:lineRule="exact"/>
        <w:rPr>
          <w:rFonts w:ascii="仿宋_GB2312" w:hAnsi="宋体" w:eastAsia="仿宋_GB2312"/>
          <w:sz w:val="32"/>
          <w:szCs w:val="32"/>
        </w:rPr>
      </w:pPr>
      <w:r>
        <w:rPr>
          <w:rFonts w:hint="eastAsia" w:ascii="仿宋_GB2312" w:hAnsi="宋体" w:eastAsia="仿宋_GB2312"/>
          <w:sz w:val="32"/>
          <w:szCs w:val="32"/>
        </w:rPr>
        <w:t>电话：029-89801373</w:t>
      </w:r>
    </w:p>
    <w:p w14:paraId="495E8AD8">
      <w:pPr>
        <w:rPr>
          <w:rFonts w:ascii="仿宋_GB2312" w:hAnsi="宋体" w:eastAsia="仿宋_GB2312"/>
          <w:sz w:val="32"/>
          <w:szCs w:val="32"/>
        </w:rPr>
      </w:pPr>
    </w:p>
    <w:p w14:paraId="2C235501">
      <w:pPr>
        <w:ind w:firstLine="640" w:firstLineChars="200"/>
        <w:rPr>
          <w:rFonts w:ascii="仿宋_GB2312" w:hAnsi="宋体" w:eastAsia="仿宋_GB2312"/>
          <w:sz w:val="32"/>
          <w:szCs w:val="32"/>
        </w:rPr>
      </w:pPr>
      <w:r>
        <w:rPr>
          <w:rFonts w:hint="eastAsia" w:ascii="仿宋_GB2312" w:hAnsi="宋体" w:eastAsia="仿宋_GB2312"/>
          <w:sz w:val="32"/>
          <w:szCs w:val="32"/>
        </w:rPr>
        <w:t>鉴于：</w:t>
      </w:r>
    </w:p>
    <w:p w14:paraId="4853162B">
      <w:pPr>
        <w:ind w:firstLine="640"/>
        <w:rPr>
          <w:rFonts w:ascii="仿宋_GB2312" w:hAnsi="宋体" w:eastAsia="仿宋_GB2312"/>
          <w:sz w:val="32"/>
          <w:szCs w:val="32"/>
        </w:rPr>
      </w:pPr>
      <w:r>
        <w:rPr>
          <w:rFonts w:hint="eastAsia" w:ascii="仿宋_GB2312" w:hAnsi="宋体" w:eastAsia="仿宋_GB2312"/>
          <w:sz w:val="32"/>
          <w:szCs w:val="32"/>
        </w:rPr>
        <w:t>新华通讯社是国家通讯社和世界性通讯社，是拥有各类媒体资源的全媒体集团和专业经济信息服务机构。新华社实施品牌工程旨在为优秀民族品牌进一步扩大品牌影响力提供有效渠道，为唱响中国品牌加油助力，为民族企业进一步走向世界铺路架桥。新华社专门成立品牌工作办公室,统一协调入选单位的综合服务。</w:t>
      </w:r>
    </w:p>
    <w:p w14:paraId="117635AE">
      <w:pPr>
        <w:ind w:firstLine="640" w:firstLineChars="200"/>
        <w:rPr>
          <w:rFonts w:ascii="仿宋_GB2312" w:hAnsi="宋体" w:eastAsia="仿宋_GB2312"/>
          <w:sz w:val="32"/>
          <w:szCs w:val="32"/>
        </w:rPr>
      </w:pPr>
      <w:r>
        <w:rPr>
          <w:rFonts w:hint="eastAsia" w:ascii="仿宋_GB2312" w:hAnsi="宋体" w:eastAsia="仿宋_GB2312"/>
          <w:sz w:val="32"/>
          <w:szCs w:val="32"/>
        </w:rPr>
        <w:t>新华通讯社新闻信息中心是新华社新闻信息产品的总出口和新闻信息资源管理中心，负责新华社新闻信息产品的全球推广，为全球媒体、非媒体用户和终端受众提供新闻供稿和信息资讯服务，是新华社履行国家通讯社职能向国内外传播新闻信息产品的重要机构，是管理新华社所有新闻信息产品资源并进行营销组织策划、市场推广的机构。受新华社品牌工作办公室指派，负责对外签署品牌工程合作协议。</w:t>
      </w:r>
    </w:p>
    <w:p w14:paraId="3CE5A2F2">
      <w:pPr>
        <w:ind w:firstLine="640"/>
        <w:rPr>
          <w:rFonts w:ascii="仿宋_GB2312" w:hAnsi="宋体" w:eastAsia="仿宋_GB2312"/>
          <w:sz w:val="32"/>
          <w:szCs w:val="32"/>
        </w:rPr>
      </w:pPr>
      <w:r>
        <w:rPr>
          <w:rFonts w:hint="eastAsia" w:ascii="仿宋_GB2312" w:hAnsi="宋体" w:eastAsia="仿宋_GB2312"/>
          <w:sz w:val="32"/>
          <w:szCs w:val="32"/>
        </w:rPr>
        <w:t>甲乙双方经协商一致，共同开展品牌工程合作，根据《中华人民共和国民法典》等有关法律、法规和其他规范性文件的规定，在平等、互利的原则下，达成如下协议：</w:t>
      </w:r>
    </w:p>
    <w:p w14:paraId="0D74E9AD">
      <w:pPr>
        <w:ind w:firstLine="640" w:firstLineChars="200"/>
        <w:outlineLvl w:val="0"/>
        <w:rPr>
          <w:rFonts w:ascii="黑体" w:hAnsi="宋体" w:eastAsia="黑体"/>
          <w:sz w:val="32"/>
          <w:szCs w:val="32"/>
        </w:rPr>
      </w:pPr>
      <w:r>
        <w:rPr>
          <w:rFonts w:hint="eastAsia" w:ascii="黑体" w:hAnsi="宋体" w:eastAsia="黑体"/>
          <w:sz w:val="32"/>
          <w:szCs w:val="32"/>
        </w:rPr>
        <w:t>一、合作内容</w:t>
      </w:r>
    </w:p>
    <w:p w14:paraId="33A67A3A">
      <w:pPr>
        <w:ind w:firstLine="640" w:firstLineChars="200"/>
        <w:rPr>
          <w:rFonts w:ascii="仿宋_GB2312" w:hAnsi="宋体" w:eastAsia="仿宋_GB2312"/>
          <w:sz w:val="32"/>
          <w:szCs w:val="32"/>
        </w:rPr>
      </w:pPr>
      <w:r>
        <w:rPr>
          <w:rFonts w:hint="eastAsia" w:ascii="仿宋_GB2312" w:hAnsi="宋体" w:eastAsia="仿宋_GB2312"/>
          <w:sz w:val="32"/>
          <w:szCs w:val="32"/>
        </w:rPr>
        <w:t>本协议一经签署，新华社即确认乙方为新华社品牌工程合作单位，乙方与新华社各业务端口的合作均纳入新华社品牌工作办公室统一管理、协调。</w:t>
      </w:r>
    </w:p>
    <w:p w14:paraId="409F8657">
      <w:pPr>
        <w:ind w:firstLine="640" w:firstLineChars="200"/>
        <w:rPr>
          <w:rFonts w:ascii="仿宋_GB2312" w:hAnsi="宋体" w:eastAsia="仿宋_GB2312"/>
          <w:sz w:val="32"/>
          <w:szCs w:val="32"/>
        </w:rPr>
      </w:pPr>
      <w:r>
        <w:rPr>
          <w:rFonts w:hint="eastAsia" w:ascii="仿宋_GB2312" w:hAnsi="宋体" w:eastAsia="仿宋_GB2312"/>
          <w:sz w:val="32"/>
          <w:szCs w:val="32"/>
        </w:rPr>
        <w:t>经双方友好协商，拟在以下领域内达成合作意向：</w:t>
      </w:r>
    </w:p>
    <w:p w14:paraId="3A5FD1E0">
      <w:pPr>
        <w:pStyle w:val="17"/>
        <w:numPr>
          <w:ilvl w:val="0"/>
          <w:numId w:val="1"/>
        </w:numPr>
        <w:ind w:firstLineChars="0"/>
        <w:rPr>
          <w:rFonts w:ascii="仿宋_GB2312" w:hAnsi="宋体" w:eastAsia="仿宋_GB2312"/>
          <w:sz w:val="32"/>
          <w:szCs w:val="32"/>
        </w:rPr>
      </w:pPr>
      <w:r>
        <w:rPr>
          <w:rFonts w:hint="eastAsia" w:ascii="仿宋_GB2312" w:hAnsi="宋体" w:eastAsia="仿宋_GB2312"/>
          <w:sz w:val="32"/>
          <w:szCs w:val="32"/>
        </w:rPr>
        <w:t>常态化沟通机制：</w:t>
      </w:r>
    </w:p>
    <w:p w14:paraId="2E76C8A6">
      <w:pPr>
        <w:ind w:firstLine="640" w:firstLineChars="200"/>
        <w:rPr>
          <w:rFonts w:ascii="仿宋_GB2312" w:hAnsi="宋体" w:eastAsia="仿宋_GB2312"/>
          <w:sz w:val="32"/>
          <w:szCs w:val="32"/>
        </w:rPr>
      </w:pPr>
      <w:r>
        <w:rPr>
          <w:rFonts w:hint="eastAsia" w:ascii="仿宋_GB2312" w:hAnsi="宋体" w:eastAsia="仿宋_GB2312"/>
          <w:sz w:val="32"/>
          <w:szCs w:val="32"/>
        </w:rPr>
        <w:t>甲乙双方建立高层互访机制及常态化沟通机制，在全面了解实际情况，尊重传播规律的基础上，甲方将充分发挥耳目、喉舌、智库的职能优势，以及新媒体与传统媒体融合、海内外联动、央地联动的资源优势，结合乙方相关主题，全方位、多角度推介乙方在高质量发展过程中取得的新成果、新经验，使乙方在国家级媒体当中拥有属于自己的全媒体、全覆盖的信息发布阵地，全面提高乙方品牌声量。</w:t>
      </w:r>
    </w:p>
    <w:p w14:paraId="3BAB53F7">
      <w:pPr>
        <w:pStyle w:val="17"/>
        <w:numPr>
          <w:ilvl w:val="0"/>
          <w:numId w:val="1"/>
        </w:numPr>
        <w:ind w:firstLineChars="0"/>
        <w:rPr>
          <w:rFonts w:ascii="仿宋_GB2312" w:hAnsi="宋体" w:eastAsia="仿宋_GB2312"/>
          <w:sz w:val="32"/>
          <w:szCs w:val="32"/>
        </w:rPr>
      </w:pPr>
      <w:r>
        <w:rPr>
          <w:rFonts w:hint="eastAsia" w:ascii="仿宋_GB2312" w:hAnsi="宋体" w:eastAsia="仿宋_GB2312"/>
          <w:sz w:val="32"/>
          <w:szCs w:val="32"/>
        </w:rPr>
        <w:t>舆情全流程服务：</w:t>
      </w:r>
    </w:p>
    <w:p w14:paraId="2C7031D6">
      <w:pPr>
        <w:ind w:firstLine="640" w:firstLineChars="200"/>
        <w:rPr>
          <w:rFonts w:ascii="仿宋_GB2312" w:hAnsi="宋体" w:eastAsia="仿宋_GB2312"/>
          <w:sz w:val="32"/>
          <w:szCs w:val="32"/>
        </w:rPr>
      </w:pPr>
      <w:r>
        <w:rPr>
          <w:rFonts w:hint="eastAsia" w:ascii="仿宋_GB2312" w:hAnsi="宋体" w:eastAsia="仿宋_GB2312"/>
          <w:sz w:val="32"/>
          <w:szCs w:val="32"/>
        </w:rPr>
        <w:t>甲方凭借高度的传播敏感性和多语种监测能力，覆盖境内外主流媒体、社交媒体、行业论坛、政策发布平台等全渠道信息源，顶级舆情专家资源及成熟的服务经验，为乙方量身定制包括舆情监测与预警、舆情管理能力培训、舆情应对咨询及声誉管理等在内的全链条舆情服务，助力乙方实现风险可控、声誉增值、决策科学化。</w:t>
      </w:r>
    </w:p>
    <w:p w14:paraId="1B71E88E">
      <w:pPr>
        <w:ind w:firstLine="640" w:firstLineChars="200"/>
        <w:rPr>
          <w:rFonts w:ascii="仿宋_GB2312" w:hAnsi="宋体" w:eastAsia="仿宋_GB2312"/>
          <w:sz w:val="32"/>
          <w:szCs w:val="32"/>
        </w:rPr>
      </w:pPr>
      <w:r>
        <w:rPr>
          <w:rFonts w:hint="eastAsia" w:ascii="仿宋_GB2312" w:hAnsi="宋体" w:eastAsia="仿宋_GB2312"/>
          <w:sz w:val="32"/>
          <w:szCs w:val="32"/>
        </w:rPr>
        <w:t>3.高端智库信息支撑服务：</w:t>
      </w:r>
    </w:p>
    <w:p w14:paraId="49395836">
      <w:pPr>
        <w:ind w:firstLine="640" w:firstLineChars="200"/>
        <w:rPr>
          <w:rFonts w:ascii="仿宋_GB2312" w:hAnsi="宋体" w:eastAsia="仿宋_GB2312"/>
          <w:sz w:val="32"/>
          <w:szCs w:val="32"/>
        </w:rPr>
      </w:pPr>
      <w:r>
        <w:rPr>
          <w:rFonts w:hint="eastAsia" w:ascii="仿宋_GB2312" w:hAnsi="宋体" w:eastAsia="仿宋_GB2312"/>
          <w:sz w:val="32"/>
          <w:szCs w:val="32"/>
        </w:rPr>
        <w:t>甲方作为全国首批国家高端智库建设试点单位中唯一的媒体智库，依托专业分析团队及覆盖多领域的专家智囊团、权威的信息资源和渠道、强大的数据和技术支持，结合长期的智库服务实践，以高端智库产品为核心，围绕乙方的企业发展战略，为乙方提供独家、权威、专业的高端智库和信息支撑，包括但不限定于国家重要政策解读、重大课题研究与发布、决策信息分析和建议、行业标准制定、行业指数发布、未来形势研判、目标投资国可行性研究、海外政策环境报告、舆情服务、策划组织闭门研讨会等内容。</w:t>
      </w:r>
    </w:p>
    <w:p w14:paraId="52242085">
      <w:pPr>
        <w:ind w:left="640"/>
        <w:rPr>
          <w:rFonts w:ascii="仿宋_GB2312" w:hAnsi="宋体" w:eastAsia="仿宋_GB2312"/>
          <w:sz w:val="32"/>
          <w:szCs w:val="32"/>
        </w:rPr>
      </w:pPr>
      <w:r>
        <w:rPr>
          <w:rFonts w:hint="eastAsia" w:ascii="仿宋_GB2312" w:hAnsi="宋体" w:eastAsia="仿宋_GB2312"/>
          <w:sz w:val="32"/>
          <w:szCs w:val="32"/>
        </w:rPr>
        <w:t>4.专题调研服务：</w:t>
      </w:r>
    </w:p>
    <w:p w14:paraId="630BC460">
      <w:pPr>
        <w:rPr>
          <w:rFonts w:ascii="仿宋_GB2312" w:hAnsi="宋体" w:eastAsia="仿宋_GB2312"/>
          <w:sz w:val="32"/>
          <w:szCs w:val="32"/>
        </w:rPr>
      </w:pPr>
      <w:r>
        <w:rPr>
          <w:rFonts w:hint="eastAsia" w:ascii="仿宋_GB2312" w:hAnsi="宋体" w:eastAsia="仿宋_GB2312"/>
          <w:sz w:val="32"/>
          <w:szCs w:val="32"/>
        </w:rPr>
        <w:t xml:space="preserve">    甲方依托国家高端智库职能优势，整合宏观经济、产业政策、社会舆情等多维度分析，围绕乙方全球化布局与市场拓展、科技创新与产业升级、社会责任与品牌影响力等主题，为乙方提供兼具战略高度和实操价值的专题调研服务。</w:t>
      </w:r>
      <w:r>
        <w:rPr>
          <w:rFonts w:hint="eastAsia" w:ascii="仿宋" w:hAnsi="仿宋" w:eastAsia="仿宋" w:cs="仿宋_GB2312"/>
          <w:color w:val="000000"/>
          <w:kern w:val="0"/>
          <w:sz w:val="32"/>
          <w:szCs w:val="32"/>
        </w:rPr>
        <w:t>总结乙方在发展中的新经验和新思路，梳理遇到的热点和难点问题，使其先进经验能在相关领域内广泛传播</w:t>
      </w:r>
      <w:r>
        <w:rPr>
          <w:rFonts w:hint="eastAsia" w:ascii="仿宋_GB2312" w:hAnsi="宋体" w:eastAsia="仿宋_GB2312"/>
          <w:sz w:val="32"/>
          <w:szCs w:val="32"/>
        </w:rPr>
        <w:t>，从而有效促进乙方在新发展格局中实现高质量跃升，并为全面提升乙方品牌价值等提供智库支撑。</w:t>
      </w:r>
    </w:p>
    <w:p w14:paraId="30922BB3">
      <w:pPr>
        <w:ind w:firstLine="640" w:firstLineChars="200"/>
        <w:rPr>
          <w:rFonts w:ascii="仿宋_GB2312" w:hAnsi="宋体" w:eastAsia="仿宋_GB2312"/>
          <w:sz w:val="32"/>
          <w:szCs w:val="32"/>
        </w:rPr>
      </w:pPr>
      <w:r>
        <w:rPr>
          <w:rFonts w:hint="eastAsia" w:ascii="仿宋_GB2312" w:hAnsi="宋体" w:eastAsia="仿宋_GB2312"/>
          <w:sz w:val="32"/>
          <w:szCs w:val="32"/>
        </w:rPr>
        <w:t>5.创意策划推广服务：</w:t>
      </w:r>
    </w:p>
    <w:p w14:paraId="279E5740">
      <w:pPr>
        <w:ind w:firstLine="640" w:firstLineChars="200"/>
        <w:rPr>
          <w:rFonts w:ascii="仿宋_GB2312" w:hAnsi="宋体" w:eastAsia="仿宋_GB2312"/>
          <w:sz w:val="32"/>
          <w:szCs w:val="32"/>
        </w:rPr>
      </w:pPr>
      <w:r>
        <w:rPr>
          <w:rFonts w:hint="eastAsia" w:ascii="仿宋_GB2312" w:hAnsi="宋体" w:eastAsia="仿宋_GB2312"/>
          <w:sz w:val="32"/>
          <w:szCs w:val="32"/>
        </w:rPr>
        <w:t>针对乙方品牌推广投放目标和推广重点，甲方经营团队专门安排专班为乙方进行创意策划服务，进行全媒体矩阵式推广，打造乙方良好的企业形象，提升品牌美誉度和影响力。乙方向甲方提供工作便利，推广形式包括但不限于：硬广、企业信息、商务图片、商务视频等。传播形式包括但不限于：社办报刊广告资源、网络媒体广告资源、户外大屏集群，新华电视和新华广播广告资源以及社外媒体合作资源等。</w:t>
      </w:r>
    </w:p>
    <w:p w14:paraId="0A98F1A3">
      <w:pPr>
        <w:ind w:firstLine="640" w:firstLineChars="200"/>
        <w:rPr>
          <w:rFonts w:ascii="仿宋_GB2312" w:hAnsi="宋体" w:eastAsia="仿宋_GB2312"/>
          <w:sz w:val="32"/>
          <w:szCs w:val="32"/>
        </w:rPr>
      </w:pPr>
      <w:r>
        <w:rPr>
          <w:rFonts w:hint="eastAsia" w:ascii="仿宋_GB2312" w:hAnsi="宋体" w:eastAsia="仿宋_GB2312"/>
          <w:sz w:val="32"/>
          <w:szCs w:val="32"/>
        </w:rPr>
        <w:t>6.重大活动合作：</w:t>
      </w:r>
    </w:p>
    <w:p w14:paraId="4F4C8A6B">
      <w:pPr>
        <w:ind w:firstLine="640" w:firstLineChars="200"/>
        <w:rPr>
          <w:rFonts w:ascii="仿宋_GB2312" w:hAnsi="宋体" w:eastAsia="仿宋_GB2312"/>
          <w:sz w:val="32"/>
          <w:szCs w:val="32"/>
        </w:rPr>
      </w:pPr>
      <w:r>
        <w:rPr>
          <w:rFonts w:hint="eastAsia" w:ascii="仿宋_GB2312" w:hAnsi="宋体" w:eastAsia="仿宋_GB2312"/>
          <w:sz w:val="32"/>
          <w:szCs w:val="32"/>
        </w:rPr>
        <w:t>乙方可参与甲方每年举办的各类重大活动，充分展示乙方形象；乙方的重大活动甲方给予支持和推广；同时甲方就乙方品牌推广、业务发展及关心主题，打造专属活动，具体形式由双方共同商定，可临机策划。</w:t>
      </w:r>
    </w:p>
    <w:p w14:paraId="15261647">
      <w:pPr>
        <w:ind w:firstLine="640" w:firstLineChars="200"/>
        <w:rPr>
          <w:rFonts w:ascii="仿宋_GB2312" w:hAnsi="宋体" w:eastAsia="仿宋_GB2312"/>
          <w:sz w:val="32"/>
          <w:szCs w:val="32"/>
        </w:rPr>
      </w:pPr>
      <w:r>
        <w:rPr>
          <w:rFonts w:hint="eastAsia" w:ascii="仿宋_GB2312" w:hAnsi="宋体" w:eastAsia="仿宋_GB2312"/>
          <w:sz w:val="32"/>
          <w:szCs w:val="32"/>
        </w:rPr>
        <w:t>7.全球推广传播：</w:t>
      </w:r>
    </w:p>
    <w:p w14:paraId="1D25CCEA">
      <w:pPr>
        <w:ind w:firstLine="640" w:firstLineChars="200"/>
        <w:rPr>
          <w:rFonts w:ascii="仿宋_GB2312" w:hAnsi="宋体" w:eastAsia="仿宋_GB2312"/>
          <w:sz w:val="32"/>
          <w:szCs w:val="32"/>
        </w:rPr>
      </w:pPr>
      <w:r>
        <w:rPr>
          <w:rFonts w:hint="eastAsia" w:ascii="仿宋_GB2312" w:hAnsi="宋体" w:eastAsia="仿宋_GB2312"/>
          <w:sz w:val="32"/>
          <w:szCs w:val="32"/>
        </w:rPr>
        <w:t>甲方将根据乙方的业务发展战略，整合全球媒体资源，为乙方打造全球品牌形象推广体系。传播资源包括但不限于：社办报刊广告资源、网络媒体广告资源、户外大屏集群，新华电视和新华广播广告资源以及社外媒体合作资源等。具体服务包括但不限于传播资源整合、海外协调服务、</w:t>
      </w:r>
      <w:bookmarkStart w:id="0" w:name="_GoBack"/>
      <w:bookmarkEnd w:id="0"/>
      <w:r>
        <w:rPr>
          <w:rFonts w:hint="eastAsia" w:ascii="仿宋_GB2312" w:hAnsi="宋体" w:eastAsia="仿宋_GB2312"/>
          <w:sz w:val="32"/>
          <w:szCs w:val="32"/>
        </w:rPr>
        <w:t>全球通讯社联盟和海外媒体专版投放等。投放形式包括但不限于：硬广、企业信息、商务图片、商务视频等。在商务信息发布后，甲方将进行全程分析研究，提供注重实效性、连续性、可参考性的投放反馈报告。</w:t>
      </w:r>
    </w:p>
    <w:p w14:paraId="7A23794D">
      <w:pPr>
        <w:ind w:firstLine="640" w:firstLineChars="200"/>
        <w:rPr>
          <w:rFonts w:ascii="仿宋_GB2312" w:hAnsi="宋体" w:eastAsia="仿宋_GB2312"/>
          <w:sz w:val="32"/>
          <w:szCs w:val="32"/>
        </w:rPr>
      </w:pPr>
      <w:r>
        <w:rPr>
          <w:rFonts w:hint="eastAsia" w:ascii="仿宋_GB2312" w:hAnsi="宋体" w:eastAsia="仿宋_GB2312"/>
          <w:sz w:val="32"/>
          <w:szCs w:val="32"/>
        </w:rPr>
        <w:t>8.资源对接服务：</w:t>
      </w:r>
    </w:p>
    <w:p w14:paraId="29F99F79">
      <w:pPr>
        <w:ind w:firstLine="640" w:firstLineChars="200"/>
        <w:rPr>
          <w:rFonts w:hint="eastAsia" w:ascii="仿宋_GB2312" w:hAnsi="宋体" w:eastAsia="仿宋_GB2312"/>
          <w:sz w:val="32"/>
          <w:szCs w:val="32"/>
        </w:rPr>
      </w:pPr>
      <w:r>
        <w:rPr>
          <w:rFonts w:hint="eastAsia" w:ascii="仿宋_GB2312" w:hAnsi="宋体" w:eastAsia="仿宋_GB2312"/>
          <w:sz w:val="32"/>
          <w:szCs w:val="32"/>
        </w:rPr>
        <w:t>甲方将依托与有关部委、地方政府、国际组织等机构的良好合作关系，以“国家平台、全球视野、资源赋能”为核心，为乙方搭建资源高效对接平台，提供政府与政策资源对接、产业合作资源整合、国际化资源拓展、金融与资本资源对接等服务，助力乙方打通关键资源通道，构建政企协同、产融联动、内外循环的新发展格局，为企业高质量发展注入强劲动力。</w:t>
      </w:r>
    </w:p>
    <w:p w14:paraId="5F3B4DAC">
      <w:pPr>
        <w:ind w:firstLine="640" w:firstLineChars="200"/>
        <w:rPr>
          <w:rFonts w:hint="eastAsia" w:ascii="仿宋_GB2312" w:hAnsi="宋体" w:eastAsia="仿宋_GB2312"/>
          <w:sz w:val="32"/>
          <w:szCs w:val="32"/>
        </w:rPr>
      </w:pPr>
      <w:r>
        <w:rPr>
          <w:rFonts w:hint="eastAsia" w:ascii="仿宋_GB2312" w:hAnsi="宋体" w:eastAsia="仿宋_GB2312"/>
          <w:sz w:val="32"/>
          <w:szCs w:val="32"/>
        </w:rPr>
        <w:t>具体服务内容、频次、交付标准、成果形式以双方另行签署的书面订单或服务确认单为准。</w:t>
      </w:r>
    </w:p>
    <w:p w14:paraId="44D78317">
      <w:pPr>
        <w:ind w:firstLine="640" w:firstLineChars="200"/>
        <w:outlineLvl w:val="0"/>
        <w:rPr>
          <w:rFonts w:ascii="黑体" w:hAnsi="宋体" w:eastAsia="黑体"/>
          <w:sz w:val="32"/>
          <w:szCs w:val="32"/>
        </w:rPr>
      </w:pPr>
      <w:r>
        <w:rPr>
          <w:rFonts w:hint="eastAsia" w:ascii="黑体" w:hAnsi="宋体" w:eastAsia="黑体"/>
          <w:sz w:val="32"/>
          <w:szCs w:val="32"/>
        </w:rPr>
        <w:t>二、甲乙双方责任义务</w:t>
      </w:r>
    </w:p>
    <w:p w14:paraId="67976292">
      <w:pPr>
        <w:ind w:firstLine="640" w:firstLineChars="200"/>
        <w:rPr>
          <w:rFonts w:ascii="仿宋_GB2312" w:hAnsi="宋体" w:eastAsia="仿宋_GB2312"/>
          <w:sz w:val="32"/>
          <w:szCs w:val="32"/>
        </w:rPr>
      </w:pPr>
      <w:r>
        <w:rPr>
          <w:rFonts w:hint="eastAsia" w:ascii="仿宋_GB2312" w:hAnsi="宋体" w:eastAsia="仿宋_GB2312"/>
          <w:sz w:val="32"/>
          <w:szCs w:val="32"/>
        </w:rPr>
        <w:t>1.乙方需保证提供材料真实、合法、有效；同时保证不侵犯任何第三方合法权益。如甲方需要，乙方应提交相关文件及凭证予以验证，并提供一套经乙方盖章确认的副本留存备案。</w:t>
      </w:r>
    </w:p>
    <w:p w14:paraId="0F3E1CA3">
      <w:pPr>
        <w:ind w:firstLine="640" w:firstLineChars="200"/>
        <w:rPr>
          <w:rFonts w:ascii="仿宋_GB2312" w:hAnsi="宋体" w:eastAsia="仿宋_GB2312"/>
          <w:sz w:val="32"/>
          <w:szCs w:val="32"/>
        </w:rPr>
      </w:pPr>
      <w:r>
        <w:rPr>
          <w:rFonts w:hint="eastAsia" w:ascii="仿宋_GB2312" w:hAnsi="宋体" w:eastAsia="仿宋_GB2312"/>
          <w:sz w:val="32"/>
          <w:szCs w:val="32"/>
        </w:rPr>
        <w:t>2.乙方应按照甲方及工程需要及要求提供必要素材和展示形象，并接受甲方及新华社方面的审核；不符合审核标准的，乙方应根据审核意见予以及时调整。</w:t>
      </w:r>
    </w:p>
    <w:p w14:paraId="06E0F6CA">
      <w:pPr>
        <w:ind w:firstLine="640" w:firstLineChars="200"/>
        <w:rPr>
          <w:rFonts w:ascii="仿宋_GB2312" w:hAnsi="宋体" w:eastAsia="仿宋_GB2312"/>
          <w:sz w:val="32"/>
          <w:szCs w:val="32"/>
        </w:rPr>
      </w:pPr>
      <w:r>
        <w:rPr>
          <w:rFonts w:hint="eastAsia" w:ascii="仿宋_GB2312" w:hAnsi="宋体" w:eastAsia="仿宋_GB2312"/>
          <w:sz w:val="32"/>
          <w:szCs w:val="32"/>
        </w:rPr>
        <w:t>3.甲方应按照双方确认的内容投放媒介广告或发布信息，超出下单之外的广告和信息不作为执行本合同的依据，乙方有权不支付相应费用。</w:t>
      </w:r>
    </w:p>
    <w:p w14:paraId="167A0D1D">
      <w:pPr>
        <w:ind w:firstLine="640" w:firstLineChars="200"/>
        <w:rPr>
          <w:rFonts w:ascii="仿宋_GB2312" w:hAnsi="宋体" w:eastAsia="仿宋_GB2312"/>
          <w:sz w:val="32"/>
          <w:szCs w:val="32"/>
        </w:rPr>
      </w:pPr>
      <w:r>
        <w:rPr>
          <w:rFonts w:hint="eastAsia" w:ascii="仿宋_GB2312" w:hAnsi="宋体" w:eastAsia="仿宋_GB2312"/>
          <w:sz w:val="32"/>
          <w:szCs w:val="32"/>
        </w:rPr>
        <w:t>4.甲方应按照乙方提供或确认的素材或信息内容予以发布；若为甲方提供的，则发布前应经乙方确认，以保证符合乙方品牌的推广需求和市场定位。不符合本条约定的发布行为视为无效，乙方有权不予结算相应费用。甲方未经乙方</w:t>
      </w:r>
      <w:r>
        <w:rPr>
          <w:rFonts w:hint="eastAsia" w:ascii="仿宋_GB2312" w:hAnsi="宋体" w:eastAsia="仿宋_GB2312"/>
          <w:sz w:val="32"/>
          <w:szCs w:val="32"/>
          <w:lang w:val="en-US" w:eastAsia="zh-CN"/>
        </w:rPr>
        <w:t>确认</w:t>
      </w:r>
      <w:r>
        <w:rPr>
          <w:rFonts w:hint="eastAsia" w:ascii="仿宋_GB2312" w:hAnsi="宋体" w:eastAsia="仿宋_GB2312"/>
          <w:sz w:val="32"/>
          <w:szCs w:val="32"/>
        </w:rPr>
        <w:t>擅自发布超出订单范围的广告或信息的，如侵害乙方合法权益，乙方有权要求甲方承担相应责任。</w:t>
      </w:r>
    </w:p>
    <w:p w14:paraId="1506F7DD">
      <w:pPr>
        <w:ind w:firstLine="640" w:firstLineChars="200"/>
        <w:rPr>
          <w:rFonts w:ascii="仿宋_GB2312" w:hAnsi="宋体" w:eastAsia="仿宋_GB2312"/>
          <w:sz w:val="32"/>
          <w:szCs w:val="32"/>
        </w:rPr>
      </w:pPr>
      <w:r>
        <w:rPr>
          <w:rFonts w:hint="eastAsia" w:ascii="仿宋_GB2312" w:hAnsi="宋体" w:eastAsia="仿宋_GB2312"/>
          <w:sz w:val="32"/>
          <w:szCs w:val="32"/>
        </w:rPr>
        <w:t>5.乙方应规范守法经营，在本协议有效期内，如发现乙方有任何严重违法违规行为或者严重有悖公序良俗的，或者乙方违反协议义务，经书面催告拒不改正的，甲方有权立即中止或终止服务，解除协议，双方应据实结算已实际发生并经乙方验收合格的服务费用。如因此给甲方造成的损失的，还应予以赔偿。</w:t>
      </w:r>
    </w:p>
    <w:p w14:paraId="2D365DD2">
      <w:pPr>
        <w:ind w:firstLine="640" w:firstLineChars="200"/>
        <w:rPr>
          <w:rFonts w:ascii="仿宋_GB2312" w:hAnsi="宋体" w:eastAsia="仿宋_GB2312"/>
          <w:sz w:val="32"/>
          <w:szCs w:val="32"/>
        </w:rPr>
      </w:pPr>
      <w:r>
        <w:rPr>
          <w:rFonts w:hint="eastAsia" w:ascii="仿宋_GB2312" w:hAnsi="宋体" w:eastAsia="仿宋_GB2312"/>
          <w:sz w:val="32"/>
          <w:szCs w:val="32"/>
        </w:rPr>
        <w:t>6.经甲方审核通过的广告或信息，若因法律、政策原因被强制下刊，或因重大党政活动被中断、推迟发布，则甲方按耽搁的时间，为乙方及时安排补发。</w:t>
      </w:r>
    </w:p>
    <w:p w14:paraId="39AF3C0C">
      <w:pPr>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rPr>
        <w:t>7.若甲方或媒介自身原因导致乙方广告或信息未能及时发布的，甲方应及时安排补发，由此导致的费用，由甲方自行承担，与乙方无关。</w:t>
      </w:r>
      <w:r>
        <w:rPr>
          <w:rFonts w:hint="eastAsia" w:ascii="仿宋_GB2312" w:hAnsi="宋体" w:eastAsia="仿宋_GB2312"/>
          <w:sz w:val="32"/>
          <w:szCs w:val="32"/>
          <w:lang w:val="en-US" w:eastAsia="zh-CN"/>
        </w:rPr>
        <w:t>若由于乙方原因导致甲方未能按时发布或发布错误的，不视为甲方违约，甲方不承担责任，由此产生的费用由乙方自行承担。</w:t>
      </w:r>
    </w:p>
    <w:p w14:paraId="0064B60B">
      <w:pPr>
        <w:ind w:firstLine="640" w:firstLineChars="200"/>
        <w:outlineLvl w:val="0"/>
        <w:rPr>
          <w:rFonts w:ascii="黑体" w:hAnsi="宋体" w:eastAsia="黑体"/>
          <w:sz w:val="32"/>
          <w:szCs w:val="32"/>
        </w:rPr>
      </w:pPr>
      <w:r>
        <w:rPr>
          <w:rFonts w:hint="eastAsia" w:ascii="黑体" w:hAnsi="宋体" w:eastAsia="黑体"/>
          <w:sz w:val="32"/>
          <w:szCs w:val="32"/>
        </w:rPr>
        <w:t>三、合作金额、期限及支付方式</w:t>
      </w:r>
    </w:p>
    <w:p w14:paraId="3B78BA4A">
      <w:pPr>
        <w:ind w:firstLine="640" w:firstLineChars="200"/>
        <w:rPr>
          <w:rFonts w:ascii="仿宋_GB2312" w:hAnsi="宋体" w:eastAsia="仿宋_GB2312"/>
          <w:sz w:val="32"/>
          <w:szCs w:val="32"/>
        </w:rPr>
      </w:pPr>
      <w:r>
        <w:rPr>
          <w:rFonts w:hint="eastAsia" w:ascii="仿宋_GB2312" w:hAnsi="宋体" w:eastAsia="仿宋_GB2312"/>
          <w:sz w:val="32"/>
          <w:szCs w:val="32"/>
        </w:rPr>
        <w:t>1.合作期限:自【</w:t>
      </w:r>
      <w:r>
        <w:rPr>
          <w:rFonts w:hint="eastAsia" w:ascii="仿宋_GB2312" w:hAnsi="宋体" w:eastAsia="仿宋_GB2312"/>
          <w:sz w:val="32"/>
          <w:szCs w:val="32"/>
          <w:lang w:val="en-US" w:eastAsia="zh-CN"/>
        </w:rPr>
        <w:t>2026</w:t>
      </w:r>
      <w:r>
        <w:rPr>
          <w:rFonts w:hint="eastAsia" w:ascii="仿宋_GB2312" w:hAnsi="宋体" w:eastAsia="仿宋_GB2312"/>
          <w:sz w:val="32"/>
          <w:szCs w:val="32"/>
        </w:rPr>
        <w:t>】年【</w:t>
      </w:r>
      <w:r>
        <w:rPr>
          <w:rFonts w:hint="eastAsia" w:ascii="仿宋_GB2312" w:hAnsi="宋体" w:eastAsia="仿宋_GB2312"/>
          <w:sz w:val="32"/>
          <w:szCs w:val="32"/>
          <w:lang w:val="en-US" w:eastAsia="zh-CN"/>
        </w:rPr>
        <w:t>4</w:t>
      </w:r>
      <w:r>
        <w:rPr>
          <w:rFonts w:hint="eastAsia" w:ascii="仿宋_GB2312" w:hAnsi="宋体" w:eastAsia="仿宋_GB2312"/>
          <w:sz w:val="32"/>
          <w:szCs w:val="32"/>
        </w:rPr>
        <w:t>】月【</w:t>
      </w:r>
      <w:r>
        <w:rPr>
          <w:rFonts w:hint="eastAsia" w:ascii="仿宋_GB2312" w:hAnsi="宋体" w:eastAsia="仿宋_GB2312"/>
          <w:sz w:val="32"/>
          <w:szCs w:val="32"/>
          <w:lang w:val="en-US" w:eastAsia="zh-CN"/>
        </w:rPr>
        <w:t>24</w:t>
      </w:r>
      <w:r>
        <w:rPr>
          <w:rFonts w:hint="eastAsia" w:ascii="仿宋_GB2312" w:hAnsi="宋体" w:eastAsia="仿宋_GB2312"/>
          <w:sz w:val="32"/>
          <w:szCs w:val="32"/>
        </w:rPr>
        <w:t>】日起至【</w:t>
      </w:r>
      <w:r>
        <w:rPr>
          <w:rFonts w:hint="eastAsia" w:ascii="仿宋_GB2312" w:hAnsi="宋体" w:eastAsia="仿宋_GB2312"/>
          <w:sz w:val="32"/>
          <w:szCs w:val="32"/>
          <w:lang w:val="en-US" w:eastAsia="zh-CN"/>
        </w:rPr>
        <w:t>2027</w:t>
      </w:r>
      <w:r>
        <w:rPr>
          <w:rFonts w:hint="eastAsia" w:ascii="仿宋_GB2312" w:hAnsi="宋体" w:eastAsia="仿宋_GB2312"/>
          <w:sz w:val="32"/>
          <w:szCs w:val="32"/>
        </w:rPr>
        <w:t>】年【</w:t>
      </w:r>
      <w:r>
        <w:rPr>
          <w:rFonts w:hint="eastAsia" w:ascii="仿宋_GB2312" w:hAnsi="宋体" w:eastAsia="仿宋_GB2312"/>
          <w:sz w:val="32"/>
          <w:szCs w:val="32"/>
          <w:lang w:val="en-US" w:eastAsia="zh-CN"/>
        </w:rPr>
        <w:t>4</w:t>
      </w:r>
      <w:r>
        <w:rPr>
          <w:rFonts w:hint="eastAsia" w:ascii="仿宋_GB2312" w:hAnsi="宋体" w:eastAsia="仿宋_GB2312"/>
          <w:sz w:val="32"/>
          <w:szCs w:val="32"/>
        </w:rPr>
        <w:t>】月【</w:t>
      </w:r>
      <w:r>
        <w:rPr>
          <w:rFonts w:hint="eastAsia" w:ascii="仿宋_GB2312" w:hAnsi="宋体" w:eastAsia="仿宋_GB2312"/>
          <w:sz w:val="32"/>
          <w:szCs w:val="32"/>
          <w:lang w:val="en-US" w:eastAsia="zh-CN"/>
        </w:rPr>
        <w:t>23</w:t>
      </w:r>
      <w:r>
        <w:rPr>
          <w:rFonts w:hint="eastAsia" w:ascii="仿宋_GB2312" w:hAnsi="宋体" w:eastAsia="仿宋_GB2312"/>
          <w:sz w:val="32"/>
          <w:szCs w:val="32"/>
        </w:rPr>
        <w:t>】日止。合作</w:t>
      </w:r>
      <w:r>
        <w:rPr>
          <w:rFonts w:ascii="仿宋_GB2312" w:hAnsi="宋体" w:eastAsia="仿宋_GB2312"/>
          <w:sz w:val="32"/>
          <w:szCs w:val="32"/>
        </w:rPr>
        <w:t>期限</w:t>
      </w:r>
      <w:r>
        <w:rPr>
          <w:rFonts w:hint="eastAsia" w:ascii="仿宋_GB2312" w:hAnsi="宋体" w:eastAsia="仿宋_GB2312"/>
          <w:sz w:val="32"/>
          <w:szCs w:val="32"/>
        </w:rPr>
        <w:t>【</w:t>
      </w:r>
      <w:r>
        <w:rPr>
          <w:rFonts w:hint="eastAsia" w:ascii="仿宋_GB2312" w:hAnsi="宋体" w:eastAsia="仿宋_GB2312"/>
          <w:sz w:val="32"/>
          <w:szCs w:val="32"/>
          <w:lang w:val="en-US" w:eastAsia="zh-CN"/>
        </w:rPr>
        <w:t>1</w:t>
      </w:r>
      <w:r>
        <w:rPr>
          <w:rFonts w:hint="eastAsia" w:ascii="仿宋_GB2312" w:hAnsi="宋体" w:eastAsia="仿宋_GB2312"/>
          <w:sz w:val="32"/>
          <w:szCs w:val="32"/>
        </w:rPr>
        <w:t>】</w:t>
      </w:r>
      <w:r>
        <w:rPr>
          <w:rFonts w:ascii="仿宋_GB2312" w:hAnsi="宋体" w:eastAsia="仿宋_GB2312"/>
          <w:sz w:val="32"/>
          <w:szCs w:val="32"/>
        </w:rPr>
        <w:t>年</w:t>
      </w:r>
      <w:r>
        <w:rPr>
          <w:rFonts w:hint="eastAsia" w:ascii="仿宋_GB2312" w:hAnsi="宋体" w:eastAsia="仿宋_GB2312"/>
          <w:sz w:val="32"/>
          <w:szCs w:val="32"/>
        </w:rPr>
        <w:t>。</w:t>
      </w:r>
      <w:r>
        <w:commentReference w:id="0"/>
      </w:r>
    </w:p>
    <w:p w14:paraId="1B67A31C">
      <w:pPr>
        <w:ind w:firstLine="640" w:firstLineChars="200"/>
        <w:rPr>
          <w:rFonts w:ascii="仿宋_GB2312" w:hAnsi="宋体" w:eastAsia="仿宋_GB2312"/>
          <w:sz w:val="32"/>
          <w:szCs w:val="32"/>
        </w:rPr>
      </w:pPr>
      <w:r>
        <w:rPr>
          <w:rFonts w:hint="eastAsia" w:ascii="仿宋_GB2312" w:hAnsi="宋体" w:eastAsia="仿宋_GB2312"/>
          <w:sz w:val="32"/>
          <w:szCs w:val="32"/>
        </w:rPr>
        <w:t>2.</w:t>
      </w:r>
      <w:r>
        <w:rPr>
          <w:rFonts w:ascii="仿宋_GB2312" w:hAnsi="宋体" w:eastAsia="仿宋_GB2312"/>
          <w:sz w:val="32"/>
          <w:szCs w:val="32"/>
        </w:rPr>
        <w:t>合作涉及的</w:t>
      </w:r>
      <w:r>
        <w:rPr>
          <w:rFonts w:hint="eastAsia" w:ascii="仿宋_GB2312" w:hAnsi="宋体" w:eastAsia="仿宋_GB2312"/>
          <w:sz w:val="32"/>
          <w:szCs w:val="32"/>
        </w:rPr>
        <w:t>项目范围包括新华社下属所有媒体。</w:t>
      </w:r>
    </w:p>
    <w:p w14:paraId="692680D0">
      <w:pPr>
        <w:widowControl/>
        <w:ind w:firstLine="640" w:firstLineChars="200"/>
        <w:rPr>
          <w:rFonts w:ascii="仿宋_GB2312" w:hAnsi="宋体" w:eastAsia="仿宋_GB2312"/>
          <w:sz w:val="32"/>
          <w:szCs w:val="32"/>
        </w:rPr>
      </w:pPr>
      <w:r>
        <w:rPr>
          <w:rFonts w:hint="eastAsia" w:ascii="仿宋_GB2312" w:hAnsi="宋体" w:eastAsia="仿宋_GB2312"/>
          <w:sz w:val="32"/>
          <w:szCs w:val="32"/>
        </w:rPr>
        <w:t>3.</w:t>
      </w:r>
      <w:r>
        <w:rPr>
          <w:rFonts w:ascii="仿宋_GB2312" w:hAnsi="宋体" w:eastAsia="仿宋_GB2312"/>
          <w:sz w:val="32"/>
          <w:szCs w:val="32"/>
        </w:rPr>
        <w:t>合作</w:t>
      </w:r>
      <w:r>
        <w:rPr>
          <w:rFonts w:hint="eastAsia" w:ascii="仿宋_GB2312" w:hAnsi="宋体" w:eastAsia="仿宋_GB2312"/>
          <w:sz w:val="32"/>
          <w:szCs w:val="32"/>
        </w:rPr>
        <w:t>总金额</w:t>
      </w:r>
      <w:r>
        <w:rPr>
          <w:rFonts w:ascii="仿宋_GB2312" w:hAnsi="宋体" w:eastAsia="仿宋_GB2312"/>
          <w:sz w:val="32"/>
          <w:szCs w:val="32"/>
        </w:rPr>
        <w:t>为人民币</w:t>
      </w:r>
      <w:r>
        <w:rPr>
          <w:rFonts w:hint="eastAsia" w:ascii="仿宋_GB2312" w:hAnsi="宋体" w:eastAsia="仿宋_GB2312"/>
          <w:sz w:val="32"/>
          <w:szCs w:val="32"/>
        </w:rPr>
        <w:t>【</w:t>
      </w:r>
      <w:r>
        <w:rPr>
          <w:rFonts w:hint="eastAsia" w:ascii="仿宋_GB2312" w:hAnsi="宋体" w:eastAsia="仿宋_GB2312"/>
          <w:sz w:val="32"/>
          <w:szCs w:val="32"/>
          <w:lang w:val="en-US" w:eastAsia="zh-CN"/>
        </w:rPr>
        <w:t>6627000.00</w:t>
      </w:r>
      <w:r>
        <w:rPr>
          <w:rFonts w:hint="eastAsia" w:ascii="仿宋_GB2312" w:hAnsi="宋体" w:eastAsia="仿宋_GB2312"/>
          <w:sz w:val="32"/>
          <w:szCs w:val="32"/>
        </w:rPr>
        <w:t>】元整（含税）（大写：【</w:t>
      </w:r>
      <w:r>
        <w:rPr>
          <w:rFonts w:hint="eastAsia" w:ascii="仿宋_GB2312" w:hAnsi="宋体" w:eastAsia="仿宋_GB2312"/>
          <w:sz w:val="32"/>
          <w:szCs w:val="32"/>
          <w:lang w:val="en-US" w:eastAsia="zh-CN"/>
        </w:rPr>
        <w:t>陆佰陆拾贰万柒仟</w:t>
      </w:r>
      <w:r>
        <w:rPr>
          <w:rFonts w:hint="eastAsia" w:ascii="仿宋_GB2312" w:hAnsi="宋体" w:eastAsia="仿宋_GB2312"/>
          <w:sz w:val="32"/>
          <w:szCs w:val="32"/>
        </w:rPr>
        <w:t>】元整），具体项目由双方协商一致后执行，以实际执行项目所对应总金额为准，原则上合同期内执行完毕。未实际执行的项目，乙方无需支付任何费用。</w:t>
      </w:r>
    </w:p>
    <w:p w14:paraId="176F0A6A">
      <w:pPr>
        <w:widowControl/>
        <w:tabs>
          <w:tab w:val="left" w:pos="0"/>
        </w:tabs>
        <w:ind w:firstLine="640" w:firstLineChars="200"/>
        <w:rPr>
          <w:rFonts w:ascii="仿宋_GB2312" w:hAnsi="宋体" w:eastAsia="仿宋_GB2312"/>
          <w:sz w:val="32"/>
          <w:szCs w:val="32"/>
        </w:rPr>
      </w:pPr>
      <w:r>
        <w:rPr>
          <w:rFonts w:hint="eastAsia" w:ascii="仿宋_GB2312" w:hAnsi="宋体" w:eastAsia="仿宋_GB2312"/>
          <w:sz w:val="32"/>
          <w:szCs w:val="32"/>
        </w:rPr>
        <w:t>4.支付方式：第一阶段合同签订后10日内，支付合同总金额的40.00%。完成加入新华社品牌工程签约仪式后10日内，支付合同总金额的40.00%</w:t>
      </w:r>
      <w:r>
        <w:rPr>
          <w:rFonts w:hint="eastAsia" w:ascii="仿宋_GB2312" w:hAnsi="宋体" w:eastAsia="仿宋_GB2312"/>
          <w:sz w:val="32"/>
          <w:szCs w:val="32"/>
          <w:lang w:eastAsia="zh-CN"/>
        </w:rPr>
        <w:t>。</w:t>
      </w:r>
      <w:r>
        <w:rPr>
          <w:rFonts w:hint="eastAsia" w:ascii="仿宋_GB2312" w:hAnsi="宋体" w:eastAsia="仿宋_GB2312"/>
          <w:sz w:val="32"/>
          <w:szCs w:val="32"/>
        </w:rPr>
        <w:t>完成中期评估验收后10日内，支付合同总金额的20.00%。</w:t>
      </w:r>
      <w:r>
        <w:commentReference w:id="1"/>
      </w:r>
    </w:p>
    <w:p w14:paraId="77881E39">
      <w:pPr>
        <w:widowControl/>
        <w:ind w:firstLine="640" w:firstLineChars="200"/>
        <w:rPr>
          <w:rFonts w:hint="eastAsia" w:ascii="仿宋_GB2312" w:hAnsi="仿宋_GB2312" w:eastAsia="仿宋_GB2312"/>
          <w:sz w:val="32"/>
          <w:lang w:val="en-US" w:eastAsia="zh-CN"/>
        </w:rPr>
      </w:pPr>
      <w:r>
        <w:rPr>
          <w:rFonts w:hint="eastAsia" w:ascii="仿宋_GB2312" w:hAnsi="宋体" w:eastAsia="仿宋_GB2312"/>
          <w:sz w:val="32"/>
          <w:szCs w:val="32"/>
        </w:rPr>
        <w:t>5.合作内容及金额根据甲乙双方邮件确认的订单清单及付款清单为依据，按照实际执行结算。如有变更，双方另行确认。乙方应于甲方提交相关验收材料后</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15</w:t>
      </w:r>
      <w:r>
        <w:rPr>
          <w:rFonts w:hint="eastAsia" w:ascii="仿宋_GB2312" w:hAnsi="宋体" w:eastAsia="仿宋_GB2312"/>
          <w:sz w:val="32"/>
          <w:szCs w:val="32"/>
          <w:lang w:eastAsia="zh-CN"/>
        </w:rPr>
        <w:t>】</w:t>
      </w:r>
      <w:r>
        <w:rPr>
          <w:rFonts w:hint="eastAsia" w:ascii="仿宋_GB2312" w:hAnsi="宋体" w:eastAsia="仿宋_GB2312"/>
          <w:sz w:val="32"/>
          <w:szCs w:val="32"/>
        </w:rPr>
        <w:t>日内及时组织验收，逾期视为验收合格</w:t>
      </w:r>
      <w:r>
        <w:rPr>
          <w:rFonts w:hint="eastAsia" w:ascii="仿宋_GB2312" w:hAnsi="宋体" w:eastAsia="仿宋_GB2312"/>
          <w:sz w:val="32"/>
          <w:szCs w:val="32"/>
          <w:lang w:eastAsia="zh-CN"/>
        </w:rPr>
        <w:t>。</w:t>
      </w:r>
    </w:p>
    <w:p w14:paraId="21AD940A">
      <w:pPr>
        <w:widowControl/>
        <w:ind w:firstLine="640" w:firstLineChars="200"/>
        <w:rPr>
          <w:rFonts w:ascii="仿宋_GB2312" w:hAnsi="宋体" w:eastAsia="仿宋_GB2312"/>
          <w:sz w:val="32"/>
          <w:szCs w:val="32"/>
        </w:rPr>
      </w:pPr>
      <w:r>
        <w:rPr>
          <w:rFonts w:hint="eastAsia" w:ascii="仿宋_GB2312" w:hAnsi="宋体" w:eastAsia="仿宋_GB2312"/>
          <w:sz w:val="32"/>
          <w:szCs w:val="32"/>
        </w:rPr>
        <w:t>6.每个结算周期款项支付之前，甲方须先行提供给乙方合法、有效的增值税专用发票，税率为6%（当前国家规定的增值税税率）。如遇国家税收政策调整导致本合同约定的增值税税率发生变化，则未税金额不变，自国家税率调整日起，双方含税合同金额按照新的税率同步调整，</w:t>
      </w:r>
      <w:r>
        <w:rPr>
          <w:rFonts w:hint="eastAsia" w:ascii="仿宋_GB2312" w:hAnsi="宋体" w:eastAsia="仿宋_GB2312"/>
          <w:sz w:val="32"/>
          <w:szCs w:val="32"/>
          <w:lang w:val="en-US" w:eastAsia="zh-CN"/>
        </w:rPr>
        <w:t>甲</w:t>
      </w:r>
      <w:r>
        <w:rPr>
          <w:rFonts w:hint="eastAsia" w:ascii="仿宋_GB2312" w:hAnsi="宋体" w:eastAsia="仿宋_GB2312"/>
          <w:sz w:val="32"/>
          <w:szCs w:val="32"/>
        </w:rPr>
        <w:t>方需同步调整发票开具内容，并提供政策依据。因甲方未及时提供发票，乙方有权暂缓付款且不视为乙方违约。</w:t>
      </w:r>
    </w:p>
    <w:p w14:paraId="3DCE9FD6">
      <w:pPr>
        <w:ind w:firstLine="640" w:firstLineChars="200"/>
        <w:rPr>
          <w:rFonts w:ascii="仿宋_GB2312" w:hAnsi="宋体" w:eastAsia="仿宋_GB2312"/>
          <w:sz w:val="32"/>
          <w:szCs w:val="32"/>
        </w:rPr>
      </w:pPr>
      <w:r>
        <w:rPr>
          <w:rFonts w:hint="eastAsia" w:ascii="仿宋_GB2312" w:hAnsi="宋体" w:eastAsia="仿宋_GB2312"/>
          <w:sz w:val="32"/>
          <w:szCs w:val="32"/>
        </w:rPr>
        <w:t>7</w:t>
      </w:r>
      <w:r>
        <w:rPr>
          <w:rFonts w:ascii="仿宋_GB2312" w:hAnsi="宋体" w:eastAsia="仿宋_GB2312"/>
          <w:sz w:val="32"/>
          <w:szCs w:val="32"/>
        </w:rPr>
        <w:t>.</w:t>
      </w:r>
      <w:r>
        <w:rPr>
          <w:rFonts w:hint="eastAsia" w:ascii="仿宋_GB2312" w:hAnsi="宋体" w:eastAsia="仿宋_GB2312"/>
          <w:sz w:val="32"/>
          <w:szCs w:val="32"/>
        </w:rPr>
        <w:t>甲方开户银行：</w:t>
      </w:r>
    </w:p>
    <w:p w14:paraId="5AD18F03">
      <w:pPr>
        <w:ind w:firstLine="640" w:firstLineChars="200"/>
        <w:rPr>
          <w:rFonts w:ascii="仿宋_GB2312" w:hAnsi="宋体" w:eastAsia="仿宋_GB2312"/>
          <w:sz w:val="32"/>
          <w:szCs w:val="32"/>
        </w:rPr>
      </w:pPr>
      <w:r>
        <w:rPr>
          <w:rFonts w:hint="eastAsia" w:ascii="仿宋_GB2312" w:hAnsi="宋体" w:eastAsia="仿宋_GB2312"/>
          <w:sz w:val="32"/>
          <w:szCs w:val="32"/>
        </w:rPr>
        <w:t>户  名：新华通讯社新闻信息中心</w:t>
      </w:r>
    </w:p>
    <w:p w14:paraId="4B6D14D3">
      <w:pPr>
        <w:ind w:firstLine="640" w:firstLineChars="200"/>
        <w:rPr>
          <w:rFonts w:ascii="仿宋_GB2312" w:hAnsi="宋体" w:eastAsia="仿宋_GB2312"/>
          <w:sz w:val="32"/>
          <w:szCs w:val="32"/>
        </w:rPr>
      </w:pPr>
      <w:r>
        <w:rPr>
          <w:rFonts w:hint="eastAsia" w:ascii="仿宋_GB2312" w:hAnsi="宋体" w:eastAsia="仿宋_GB2312"/>
          <w:sz w:val="32"/>
          <w:szCs w:val="32"/>
        </w:rPr>
        <w:t>开户行：中国工商银行股份有限公司北京菜市口支行</w:t>
      </w:r>
    </w:p>
    <w:p w14:paraId="2AAC8849">
      <w:pPr>
        <w:ind w:firstLine="640" w:firstLineChars="200"/>
        <w:rPr>
          <w:rFonts w:ascii="仿宋_GB2312" w:hAnsi="宋体" w:eastAsia="仿宋_GB2312"/>
          <w:sz w:val="32"/>
          <w:szCs w:val="32"/>
        </w:rPr>
      </w:pPr>
      <w:r>
        <w:rPr>
          <w:rFonts w:hint="eastAsia" w:ascii="仿宋_GB2312" w:hAnsi="宋体" w:eastAsia="仿宋_GB2312"/>
          <w:sz w:val="32"/>
          <w:szCs w:val="32"/>
        </w:rPr>
        <w:t>账  号：0200001809200056852</w:t>
      </w:r>
    </w:p>
    <w:p w14:paraId="0282EF3E">
      <w:pPr>
        <w:ind w:firstLine="640" w:firstLineChars="200"/>
        <w:rPr>
          <w:rFonts w:ascii="仿宋_GB2312" w:hAnsi="宋体" w:eastAsia="仿宋_GB2312"/>
          <w:sz w:val="32"/>
          <w:szCs w:val="32"/>
        </w:rPr>
      </w:pPr>
    </w:p>
    <w:p w14:paraId="43EB9E66">
      <w:pPr>
        <w:ind w:firstLine="640" w:firstLineChars="200"/>
        <w:rPr>
          <w:rFonts w:ascii="仿宋_GB2312" w:hAnsi="宋体" w:eastAsia="仿宋_GB2312"/>
          <w:sz w:val="32"/>
          <w:szCs w:val="32"/>
        </w:rPr>
      </w:pPr>
      <w:r>
        <w:rPr>
          <w:rFonts w:hint="eastAsia" w:ascii="仿宋_GB2312" w:hAnsi="宋体" w:eastAsia="仿宋_GB2312"/>
          <w:sz w:val="32"/>
          <w:szCs w:val="32"/>
        </w:rPr>
        <w:t>乙方开票信息：</w:t>
      </w:r>
    </w:p>
    <w:p w14:paraId="2AA9EE41">
      <w:pPr>
        <w:ind w:firstLine="640" w:firstLineChars="200"/>
        <w:rPr>
          <w:rFonts w:ascii="仿宋_GB2312" w:hAnsi="宋体" w:eastAsia="仿宋_GB2312"/>
          <w:sz w:val="32"/>
          <w:szCs w:val="32"/>
        </w:rPr>
      </w:pPr>
      <w:r>
        <w:rPr>
          <w:rFonts w:hint="eastAsia" w:ascii="仿宋_GB2312" w:hAnsi="宋体" w:eastAsia="仿宋_GB2312"/>
          <w:sz w:val="32"/>
          <w:szCs w:val="32"/>
        </w:rPr>
        <w:t>户  名：</w:t>
      </w:r>
      <w:r>
        <w:rPr>
          <w:rFonts w:hint="eastAsia" w:ascii="仿宋_GB2312" w:hAnsi="宋体" w:eastAsia="仿宋_GB2312"/>
          <w:sz w:val="32"/>
          <w:szCs w:val="32"/>
          <w:lang w:val="en-US" w:eastAsia="zh-CN"/>
        </w:rPr>
        <w:t>西安市秦岭生态环境保护管理局</w:t>
      </w:r>
      <w:r>
        <w:rPr>
          <w:rFonts w:ascii="仿宋_GB2312" w:hAnsi="宋体" w:eastAsia="仿宋_GB2312"/>
          <w:sz w:val="32"/>
          <w:szCs w:val="32"/>
        </w:rPr>
        <w:t xml:space="preserve"> </w:t>
      </w:r>
    </w:p>
    <w:p w14:paraId="12AD28BA">
      <w:pPr>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rPr>
        <w:t>统一社会信用代码：</w:t>
      </w:r>
      <w:r>
        <w:rPr>
          <w:rFonts w:hint="eastAsia" w:ascii="仿宋_GB2312" w:hAnsi="宋体" w:eastAsia="仿宋_GB2312"/>
          <w:sz w:val="32"/>
          <w:szCs w:val="32"/>
          <w:lang w:val="en-US" w:eastAsia="zh-CN"/>
        </w:rPr>
        <w:t>11610100575073446W</w:t>
      </w:r>
    </w:p>
    <w:p w14:paraId="76033546">
      <w:pPr>
        <w:ind w:firstLine="640" w:firstLineChars="200"/>
        <w:rPr>
          <w:rFonts w:hint="eastAsia" w:ascii="仿宋_GB2312" w:hAnsi="宋体" w:eastAsia="仿宋_GB2312"/>
          <w:sz w:val="32"/>
          <w:szCs w:val="32"/>
        </w:rPr>
      </w:pPr>
      <w:r>
        <w:rPr>
          <w:rFonts w:hint="eastAsia" w:ascii="仿宋_GB2312" w:hAnsi="宋体" w:eastAsia="仿宋_GB2312"/>
          <w:sz w:val="32"/>
          <w:szCs w:val="32"/>
        </w:rPr>
        <w:t>税务登记地址：西安市长安区子午大道与107省道环山路向西850米</w:t>
      </w:r>
    </w:p>
    <w:p w14:paraId="71747D9B">
      <w:pPr>
        <w:ind w:firstLine="640" w:firstLineChars="200"/>
        <w:rPr>
          <w:rFonts w:ascii="仿宋_GB2312" w:hAnsi="宋体" w:eastAsia="仿宋_GB2312"/>
          <w:sz w:val="32"/>
          <w:szCs w:val="32"/>
        </w:rPr>
      </w:pPr>
      <w:r>
        <w:rPr>
          <w:rFonts w:hint="eastAsia" w:ascii="仿宋_GB2312" w:hAnsi="宋体" w:eastAsia="仿宋_GB2312"/>
          <w:sz w:val="32"/>
          <w:szCs w:val="32"/>
        </w:rPr>
        <w:t>电话：029</w:t>
      </w:r>
      <w:r>
        <w:rPr>
          <w:rFonts w:hint="eastAsia" w:ascii="仿宋_GB2312" w:hAnsi="宋体" w:eastAsia="仿宋_GB2312"/>
          <w:sz w:val="32"/>
          <w:szCs w:val="32"/>
          <w:lang w:val="en-US" w:eastAsia="zh-CN"/>
        </w:rPr>
        <w:t>-</w:t>
      </w:r>
      <w:r>
        <w:rPr>
          <w:rFonts w:hint="eastAsia" w:ascii="仿宋_GB2312" w:hAnsi="宋体" w:eastAsia="仿宋_GB2312"/>
          <w:sz w:val="32"/>
          <w:szCs w:val="32"/>
        </w:rPr>
        <w:t>89801352</w:t>
      </w:r>
    </w:p>
    <w:p w14:paraId="7812AA74">
      <w:pPr>
        <w:ind w:firstLine="640" w:firstLineChars="200"/>
        <w:rPr>
          <w:rFonts w:hint="eastAsia" w:ascii="仿宋_GB2312" w:hAnsi="宋体" w:eastAsia="仿宋_GB2312"/>
          <w:sz w:val="32"/>
          <w:szCs w:val="32"/>
        </w:rPr>
      </w:pPr>
      <w:r>
        <w:rPr>
          <w:rFonts w:hint="eastAsia" w:ascii="仿宋_GB2312" w:hAnsi="宋体" w:eastAsia="仿宋_GB2312"/>
          <w:sz w:val="32"/>
          <w:szCs w:val="32"/>
        </w:rPr>
        <w:t>开户行：西安银行股份有限公司长安区青年南街支行</w:t>
      </w:r>
    </w:p>
    <w:p w14:paraId="6AA6E47B">
      <w:pPr>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rPr>
        <w:t>账号：183011130000000393</w:t>
      </w:r>
    </w:p>
    <w:p w14:paraId="099A31A6">
      <w:pPr>
        <w:ind w:firstLine="640" w:firstLineChars="200"/>
        <w:outlineLvl w:val="0"/>
        <w:rPr>
          <w:rFonts w:ascii="黑体" w:hAnsi="宋体" w:eastAsia="黑体"/>
          <w:sz w:val="32"/>
          <w:szCs w:val="32"/>
        </w:rPr>
      </w:pPr>
      <w:r>
        <w:rPr>
          <w:rFonts w:hint="eastAsia" w:ascii="黑体" w:hAnsi="宋体" w:eastAsia="黑体"/>
          <w:sz w:val="32"/>
          <w:szCs w:val="32"/>
        </w:rPr>
        <w:t>四、沟通机制</w:t>
      </w:r>
    </w:p>
    <w:p w14:paraId="1F0AF986">
      <w:pPr>
        <w:ind w:firstLine="640" w:firstLineChars="200"/>
        <w:rPr>
          <w:rFonts w:ascii="仿宋_GB2312" w:hAnsi="宋体" w:eastAsia="仿宋_GB2312"/>
          <w:sz w:val="32"/>
          <w:szCs w:val="32"/>
        </w:rPr>
      </w:pPr>
      <w:r>
        <w:rPr>
          <w:rFonts w:hint="eastAsia" w:ascii="仿宋_GB2312" w:hAnsi="宋体" w:eastAsia="仿宋_GB2312"/>
          <w:sz w:val="32"/>
          <w:szCs w:val="32"/>
        </w:rPr>
        <w:t>双方建立品牌工程信息通报制度和共享机制，建立重大事件和重要活动联动机制，指定专门对接人对重要事件或时间节点品牌营销定期进行会议沟通、前期策划。</w:t>
      </w:r>
    </w:p>
    <w:p w14:paraId="14130FFD">
      <w:pPr>
        <w:ind w:firstLine="640" w:firstLineChars="200"/>
        <w:outlineLvl w:val="0"/>
        <w:rPr>
          <w:rFonts w:ascii="黑体" w:hAnsi="宋体" w:eastAsia="黑体"/>
          <w:sz w:val="32"/>
          <w:szCs w:val="32"/>
        </w:rPr>
      </w:pPr>
      <w:r>
        <w:rPr>
          <w:rFonts w:hint="eastAsia" w:ascii="黑体" w:hAnsi="宋体" w:eastAsia="黑体"/>
          <w:sz w:val="32"/>
          <w:szCs w:val="32"/>
        </w:rPr>
        <w:t>五、知识产权</w:t>
      </w:r>
    </w:p>
    <w:p w14:paraId="10E3E752">
      <w:pPr>
        <w:ind w:firstLine="640" w:firstLineChars="200"/>
        <w:rPr>
          <w:rFonts w:ascii="仿宋_GB2312" w:hAnsi="宋体" w:eastAsia="仿宋_GB2312"/>
          <w:sz w:val="32"/>
          <w:szCs w:val="32"/>
        </w:rPr>
      </w:pPr>
      <w:r>
        <w:rPr>
          <w:rFonts w:hint="eastAsia" w:ascii="仿宋_GB2312" w:hAnsi="宋体" w:eastAsia="仿宋_GB2312"/>
          <w:sz w:val="32"/>
          <w:szCs w:val="32"/>
        </w:rPr>
        <w:t>1.双方必须严格遵循对方品牌管理制度，任何一方人员未经对方书面授权，不得利用对方品牌从事与第三方的业务联系与合作。需要使用对方品牌进行业务联系洽谈的，必须事先以书面材料向对方通报，经书面同意后方可使用。</w:t>
      </w:r>
    </w:p>
    <w:p w14:paraId="542C95FA">
      <w:pPr>
        <w:ind w:firstLine="640" w:firstLineChars="200"/>
        <w:rPr>
          <w:rFonts w:ascii="仿宋_GB2312" w:hAnsi="宋体" w:eastAsia="仿宋_GB2312"/>
          <w:sz w:val="32"/>
          <w:szCs w:val="32"/>
        </w:rPr>
      </w:pPr>
      <w:r>
        <w:rPr>
          <w:rFonts w:hint="eastAsia" w:ascii="仿宋_GB2312" w:hAnsi="宋体" w:eastAsia="仿宋_GB2312"/>
          <w:sz w:val="32"/>
          <w:szCs w:val="32"/>
        </w:rPr>
        <w:t>2.除以书面形式明示转移或授权，双方保留给予对方所有资料及信息的知识产权。一方不得在未征得对方书面同意的情况下，擅自改动或提供给任何第三方使用此资料或信息。</w:t>
      </w:r>
    </w:p>
    <w:p w14:paraId="5A7622A2">
      <w:pPr>
        <w:ind w:firstLine="640" w:firstLineChars="200"/>
        <w:outlineLvl w:val="0"/>
        <w:rPr>
          <w:rFonts w:ascii="黑体" w:hAnsi="宋体" w:eastAsia="黑体"/>
          <w:sz w:val="32"/>
          <w:szCs w:val="32"/>
        </w:rPr>
      </w:pPr>
      <w:r>
        <w:rPr>
          <w:rFonts w:hint="eastAsia" w:ascii="黑体" w:hAnsi="宋体" w:eastAsia="黑体"/>
          <w:sz w:val="32"/>
          <w:szCs w:val="32"/>
        </w:rPr>
        <w:t>六、违约责任</w:t>
      </w:r>
    </w:p>
    <w:p w14:paraId="556027A7">
      <w:pPr>
        <w:ind w:firstLine="640" w:firstLineChars="200"/>
        <w:rPr>
          <w:rFonts w:ascii="仿宋_GB2312" w:hAnsi="宋体" w:eastAsia="仿宋_GB2312"/>
          <w:sz w:val="32"/>
          <w:szCs w:val="32"/>
        </w:rPr>
      </w:pPr>
      <w:r>
        <w:rPr>
          <w:rFonts w:hint="eastAsia" w:ascii="仿宋_GB2312" w:hAnsi="宋体" w:eastAsia="仿宋_GB2312"/>
          <w:sz w:val="32"/>
          <w:szCs w:val="32"/>
        </w:rPr>
        <w:t>任何一方不履行本协议约定的义务或履行义务不符合本协议约定的，视为违约，应停止违约行为，并承担继续履行、采取补救措施或赔偿损失等违约责任。若</w:t>
      </w:r>
      <w:r>
        <w:rPr>
          <w:rFonts w:hint="eastAsia" w:ascii="仿宋_GB2312" w:hAnsi="宋体" w:eastAsia="仿宋_GB2312"/>
          <w:sz w:val="32"/>
          <w:szCs w:val="32"/>
          <w:lang w:val="en-US" w:eastAsia="zh-CN"/>
        </w:rPr>
        <w:t>乙</w:t>
      </w:r>
      <w:r>
        <w:rPr>
          <w:rFonts w:hint="eastAsia" w:ascii="仿宋_GB2312" w:hAnsi="宋体" w:eastAsia="仿宋_GB2312"/>
          <w:sz w:val="32"/>
          <w:szCs w:val="32"/>
        </w:rPr>
        <w:t>方未按照本合同约定的时间和数额向</w:t>
      </w:r>
      <w:r>
        <w:rPr>
          <w:rFonts w:hint="eastAsia" w:ascii="仿宋_GB2312" w:hAnsi="宋体" w:eastAsia="仿宋_GB2312"/>
          <w:sz w:val="32"/>
          <w:szCs w:val="32"/>
          <w:lang w:val="en-US" w:eastAsia="zh-CN"/>
        </w:rPr>
        <w:t>甲</w:t>
      </w:r>
      <w:r>
        <w:rPr>
          <w:rFonts w:hint="eastAsia" w:ascii="仿宋_GB2312" w:hAnsi="宋体" w:eastAsia="仿宋_GB2312"/>
          <w:sz w:val="32"/>
          <w:szCs w:val="32"/>
        </w:rPr>
        <w:t>方支付合同价款，</w:t>
      </w:r>
      <w:r>
        <w:rPr>
          <w:rFonts w:hint="eastAsia" w:ascii="仿宋_GB2312" w:hAnsi="宋体" w:eastAsia="仿宋_GB2312"/>
          <w:sz w:val="32"/>
          <w:szCs w:val="32"/>
          <w:lang w:val="en-US" w:eastAsia="zh-CN"/>
        </w:rPr>
        <w:t>甲</w:t>
      </w:r>
      <w:r>
        <w:rPr>
          <w:rFonts w:hint="eastAsia" w:ascii="仿宋_GB2312" w:hAnsi="宋体" w:eastAsia="仿宋_GB2312"/>
          <w:sz w:val="32"/>
          <w:szCs w:val="32"/>
        </w:rPr>
        <w:t>方有权按照</w:t>
      </w:r>
      <w:r>
        <w:rPr>
          <w:rFonts w:hint="eastAsia" w:ascii="仿宋_GB2312" w:hAnsi="宋体" w:eastAsia="仿宋_GB2312"/>
          <w:sz w:val="32"/>
          <w:szCs w:val="32"/>
          <w:lang w:val="en-US" w:eastAsia="zh-CN"/>
        </w:rPr>
        <w:t>乙</w:t>
      </w:r>
      <w:r>
        <w:rPr>
          <w:rFonts w:hint="eastAsia" w:ascii="仿宋_GB2312" w:hAnsi="宋体" w:eastAsia="仿宋_GB2312"/>
          <w:sz w:val="32"/>
          <w:szCs w:val="32"/>
        </w:rPr>
        <w:t>方逾期未付金额的千分之五的标准收取违约金。若</w:t>
      </w:r>
      <w:r>
        <w:rPr>
          <w:rFonts w:hint="eastAsia" w:ascii="仿宋_GB2312" w:hAnsi="宋体" w:eastAsia="仿宋_GB2312"/>
          <w:sz w:val="32"/>
          <w:szCs w:val="32"/>
          <w:lang w:val="en-US" w:eastAsia="zh-CN"/>
        </w:rPr>
        <w:t>乙</w:t>
      </w:r>
      <w:r>
        <w:rPr>
          <w:rFonts w:hint="eastAsia" w:ascii="仿宋_GB2312" w:hAnsi="宋体" w:eastAsia="仿宋_GB2312"/>
          <w:sz w:val="32"/>
          <w:szCs w:val="32"/>
        </w:rPr>
        <w:t>方逾期支付超过15日的，</w:t>
      </w:r>
      <w:r>
        <w:rPr>
          <w:rFonts w:hint="eastAsia" w:ascii="仿宋_GB2312" w:hAnsi="宋体" w:eastAsia="仿宋_GB2312"/>
          <w:sz w:val="32"/>
          <w:szCs w:val="32"/>
          <w:lang w:val="en-US" w:eastAsia="zh-CN"/>
        </w:rPr>
        <w:t>甲</w:t>
      </w:r>
      <w:r>
        <w:rPr>
          <w:rFonts w:hint="eastAsia" w:ascii="仿宋_GB2312" w:hAnsi="宋体" w:eastAsia="仿宋_GB2312"/>
          <w:sz w:val="32"/>
          <w:szCs w:val="32"/>
        </w:rPr>
        <w:t>方有权解除本合同，无论</w:t>
      </w:r>
      <w:r>
        <w:rPr>
          <w:rFonts w:hint="eastAsia" w:ascii="仿宋_GB2312" w:hAnsi="宋体" w:eastAsia="仿宋_GB2312"/>
          <w:sz w:val="32"/>
          <w:szCs w:val="32"/>
          <w:lang w:val="en-US" w:eastAsia="zh-CN"/>
        </w:rPr>
        <w:t>甲</w:t>
      </w:r>
      <w:r>
        <w:rPr>
          <w:rFonts w:hint="eastAsia" w:ascii="仿宋_GB2312" w:hAnsi="宋体" w:eastAsia="仿宋_GB2312"/>
          <w:sz w:val="32"/>
          <w:szCs w:val="32"/>
        </w:rPr>
        <w:t>方是否解除合同，均不免除</w:t>
      </w:r>
      <w:r>
        <w:rPr>
          <w:rFonts w:hint="eastAsia" w:ascii="仿宋_GB2312" w:hAnsi="宋体" w:eastAsia="仿宋_GB2312"/>
          <w:sz w:val="32"/>
          <w:szCs w:val="32"/>
          <w:lang w:val="en-US" w:eastAsia="zh-CN"/>
        </w:rPr>
        <w:t>乙</w:t>
      </w:r>
      <w:r>
        <w:rPr>
          <w:rFonts w:hint="eastAsia" w:ascii="仿宋_GB2312" w:hAnsi="宋体" w:eastAsia="仿宋_GB2312"/>
          <w:sz w:val="32"/>
          <w:szCs w:val="32"/>
        </w:rPr>
        <w:t>方按照上述约定应支付的违约金，同时</w:t>
      </w:r>
      <w:r>
        <w:rPr>
          <w:rFonts w:hint="eastAsia" w:ascii="仿宋_GB2312" w:hAnsi="宋体" w:eastAsia="仿宋_GB2312"/>
          <w:sz w:val="32"/>
          <w:szCs w:val="32"/>
          <w:lang w:val="en-US" w:eastAsia="zh-CN"/>
        </w:rPr>
        <w:t>乙</w:t>
      </w:r>
      <w:r>
        <w:rPr>
          <w:rFonts w:hint="eastAsia" w:ascii="仿宋_GB2312" w:hAnsi="宋体" w:eastAsia="仿宋_GB2312"/>
          <w:sz w:val="32"/>
          <w:szCs w:val="32"/>
        </w:rPr>
        <w:t>方赔偿</w:t>
      </w:r>
      <w:r>
        <w:rPr>
          <w:rFonts w:hint="eastAsia" w:ascii="仿宋_GB2312" w:hAnsi="宋体" w:eastAsia="仿宋_GB2312"/>
          <w:sz w:val="32"/>
          <w:szCs w:val="32"/>
          <w:lang w:val="en-US" w:eastAsia="zh-CN"/>
        </w:rPr>
        <w:t>甲</w:t>
      </w:r>
      <w:r>
        <w:rPr>
          <w:rFonts w:hint="eastAsia" w:ascii="仿宋_GB2312" w:hAnsi="宋体" w:eastAsia="仿宋_GB2312"/>
          <w:sz w:val="32"/>
          <w:szCs w:val="32"/>
        </w:rPr>
        <w:t>方因此遭受的一切损失。</w:t>
      </w:r>
    </w:p>
    <w:p w14:paraId="1002E9EC">
      <w:pPr>
        <w:ind w:firstLine="640" w:firstLineChars="200"/>
        <w:outlineLvl w:val="0"/>
        <w:rPr>
          <w:rFonts w:ascii="黑体" w:hAnsi="宋体" w:eastAsia="黑体"/>
          <w:sz w:val="32"/>
          <w:szCs w:val="32"/>
        </w:rPr>
      </w:pPr>
      <w:r>
        <w:rPr>
          <w:rFonts w:hint="eastAsia" w:ascii="黑体" w:hAnsi="宋体" w:eastAsia="黑体"/>
          <w:sz w:val="32"/>
          <w:szCs w:val="32"/>
        </w:rPr>
        <w:t>七、保密</w:t>
      </w:r>
    </w:p>
    <w:p w14:paraId="5D106F5E">
      <w:pPr>
        <w:ind w:firstLine="640" w:firstLineChars="200"/>
        <w:rPr>
          <w:rFonts w:ascii="仿宋_GB2312" w:hAnsi="宋体" w:eastAsia="仿宋_GB2312"/>
          <w:sz w:val="32"/>
          <w:szCs w:val="32"/>
        </w:rPr>
      </w:pPr>
      <w:r>
        <w:rPr>
          <w:rFonts w:hint="eastAsia" w:ascii="仿宋_GB2312" w:hAnsi="宋体" w:eastAsia="仿宋_GB2312"/>
          <w:sz w:val="32"/>
          <w:szCs w:val="32"/>
        </w:rPr>
        <w:t>1.双方均同意未经对方书面许可，任何一方不得向第三方提供或披露本协议的具体内容及与对方业务有关的资料和信息，否则另一方有权追究其法律责任并要求其赔偿损失。但根据有关法律法规和监管规定需要披露的除外。当需要对外披露时，双方应共同协商，统一步骤和口径，并征得对方书面同意和确认。</w:t>
      </w:r>
    </w:p>
    <w:p w14:paraId="4F3C425B">
      <w:pPr>
        <w:ind w:firstLine="640" w:firstLineChars="200"/>
        <w:rPr>
          <w:rFonts w:ascii="仿宋_GB2312" w:hAnsi="宋体" w:eastAsia="仿宋_GB2312"/>
          <w:sz w:val="32"/>
          <w:szCs w:val="32"/>
        </w:rPr>
      </w:pPr>
      <w:r>
        <w:rPr>
          <w:rFonts w:hint="eastAsia" w:ascii="仿宋_GB2312" w:hAnsi="宋体" w:eastAsia="仿宋_GB2312"/>
          <w:sz w:val="32"/>
          <w:szCs w:val="32"/>
        </w:rPr>
        <w:t>2.除本协议规定之工作所需外，未经对方事先同意，不得擅自使用、复制对方的商标、标志、商业信息、技术及其他资料。</w:t>
      </w:r>
    </w:p>
    <w:p w14:paraId="6A0B66BE">
      <w:pPr>
        <w:ind w:firstLine="640" w:firstLineChars="200"/>
        <w:rPr>
          <w:rFonts w:ascii="仿宋_GB2312" w:hAnsi="宋体" w:eastAsia="仿宋_GB2312"/>
          <w:sz w:val="32"/>
          <w:szCs w:val="32"/>
        </w:rPr>
      </w:pPr>
      <w:r>
        <w:rPr>
          <w:rFonts w:hint="eastAsia" w:ascii="仿宋_GB2312" w:hAnsi="宋体" w:eastAsia="仿宋_GB2312"/>
          <w:sz w:val="32"/>
          <w:szCs w:val="32"/>
        </w:rPr>
        <w:t>3.本合作协议的保密条款为持续性条款，无论本协议变更、中止、解除、终止或无效，均不影响保密条款的有效性。</w:t>
      </w:r>
    </w:p>
    <w:p w14:paraId="51A9B804">
      <w:pPr>
        <w:ind w:firstLine="640" w:firstLineChars="200"/>
        <w:outlineLvl w:val="0"/>
        <w:rPr>
          <w:rFonts w:ascii="黑体" w:hAnsi="宋体" w:eastAsia="黑体"/>
          <w:sz w:val="32"/>
          <w:szCs w:val="32"/>
        </w:rPr>
      </w:pPr>
      <w:r>
        <w:rPr>
          <w:rFonts w:hint="eastAsia" w:ascii="黑体" w:hAnsi="宋体" w:eastAsia="黑体"/>
          <w:sz w:val="32"/>
          <w:szCs w:val="32"/>
        </w:rPr>
        <w:t>八、不可抗力</w:t>
      </w:r>
    </w:p>
    <w:p w14:paraId="63B6EE96">
      <w:pPr>
        <w:ind w:firstLine="640" w:firstLineChars="200"/>
        <w:rPr>
          <w:rFonts w:ascii="仿宋_GB2312" w:hAnsi="宋体" w:eastAsia="仿宋_GB2312"/>
          <w:sz w:val="32"/>
          <w:szCs w:val="32"/>
        </w:rPr>
      </w:pPr>
      <w:r>
        <w:rPr>
          <w:rFonts w:hint="eastAsia" w:ascii="仿宋_GB2312" w:hAnsi="宋体" w:eastAsia="仿宋_GB2312"/>
          <w:sz w:val="32"/>
          <w:szCs w:val="32"/>
        </w:rPr>
        <w:t>1.如发生不可抗力，双方应立即协商解决方案。因不可抗力影响本协议履行的，任何一方可依法免除全部或部分法律责任。</w:t>
      </w:r>
    </w:p>
    <w:p w14:paraId="2CC0987C">
      <w:pPr>
        <w:ind w:firstLine="640" w:firstLineChars="200"/>
        <w:rPr>
          <w:rFonts w:ascii="仿宋_GB2312" w:hAnsi="宋体" w:eastAsia="仿宋_GB2312"/>
          <w:sz w:val="32"/>
          <w:szCs w:val="32"/>
        </w:rPr>
      </w:pPr>
      <w:r>
        <w:rPr>
          <w:rFonts w:hint="eastAsia" w:ascii="仿宋_GB2312" w:hAnsi="宋体" w:eastAsia="仿宋_GB2312"/>
          <w:sz w:val="32"/>
          <w:szCs w:val="32"/>
        </w:rPr>
        <w:t>2.受不可抗力影响的一方应自不可抗力发生之日起十日内通知另一方，并附有关部门确认的不可抗力书面证明。如不可抗力持续十日以上，且对本协议履行产生重大不利影响，则任何一方均可终止本协议。</w:t>
      </w:r>
    </w:p>
    <w:p w14:paraId="34C91CA0">
      <w:pPr>
        <w:spacing w:line="580" w:lineRule="exact"/>
        <w:ind w:firstLine="640" w:firstLineChars="200"/>
        <w:outlineLvl w:val="0"/>
        <w:rPr>
          <w:rFonts w:ascii="黑体" w:hAnsi="宋体" w:eastAsia="黑体"/>
          <w:sz w:val="32"/>
          <w:szCs w:val="32"/>
        </w:rPr>
      </w:pPr>
      <w:r>
        <w:rPr>
          <w:rFonts w:hint="eastAsia" w:ascii="黑体" w:hAnsi="宋体" w:eastAsia="黑体"/>
          <w:sz w:val="32"/>
          <w:szCs w:val="32"/>
        </w:rPr>
        <w:t>九、适用法律和争议解决</w:t>
      </w:r>
    </w:p>
    <w:p w14:paraId="531B934C">
      <w:pPr>
        <w:ind w:firstLine="640" w:firstLineChars="200"/>
        <w:rPr>
          <w:rFonts w:ascii="仿宋_GB2312" w:hAnsi="宋体" w:eastAsia="仿宋_GB2312"/>
          <w:sz w:val="32"/>
          <w:szCs w:val="32"/>
        </w:rPr>
      </w:pPr>
      <w:r>
        <w:rPr>
          <w:rFonts w:hint="eastAsia" w:ascii="仿宋_GB2312" w:hAnsi="宋体" w:eastAsia="仿宋_GB2312"/>
          <w:sz w:val="32"/>
          <w:szCs w:val="32"/>
        </w:rPr>
        <w:t>1.本协议的成立、签订、效力、解释、履行、变更、终止和争议解决均适用中华人民共和国法律。</w:t>
      </w:r>
    </w:p>
    <w:p w14:paraId="52D106FC">
      <w:pPr>
        <w:ind w:firstLine="640" w:firstLineChars="200"/>
        <w:rPr>
          <w:rFonts w:ascii="仿宋_GB2312" w:hAnsi="宋体" w:eastAsia="仿宋_GB2312"/>
          <w:sz w:val="32"/>
          <w:szCs w:val="32"/>
        </w:rPr>
      </w:pPr>
      <w:r>
        <w:rPr>
          <w:rFonts w:hint="eastAsia" w:ascii="仿宋_GB2312" w:hAnsi="宋体" w:eastAsia="仿宋_GB2312"/>
          <w:sz w:val="32"/>
          <w:szCs w:val="32"/>
        </w:rPr>
        <w:t>2.与本协议有关的任何争议都应由双方通过友好协商解决，协商不成的，任一方可向</w:t>
      </w:r>
      <w:r>
        <w:rPr>
          <w:rFonts w:hint="eastAsia" w:ascii="仿宋_GB2312" w:hAnsi="宋体" w:eastAsia="仿宋_GB2312"/>
          <w:sz w:val="32"/>
          <w:szCs w:val="32"/>
          <w:lang w:val="en-US" w:eastAsia="zh-CN"/>
        </w:rPr>
        <w:t>乙</w:t>
      </w:r>
      <w:r>
        <w:rPr>
          <w:rFonts w:hint="eastAsia" w:ascii="仿宋_GB2312" w:hAnsi="宋体" w:eastAsia="仿宋_GB2312"/>
          <w:sz w:val="32"/>
          <w:szCs w:val="32"/>
        </w:rPr>
        <w:t>方所在地的人民法院提起诉讼。</w:t>
      </w:r>
    </w:p>
    <w:p w14:paraId="5B2E5E81">
      <w:pPr>
        <w:spacing w:line="580" w:lineRule="exact"/>
        <w:ind w:firstLine="640" w:firstLineChars="200"/>
        <w:outlineLvl w:val="0"/>
        <w:rPr>
          <w:rFonts w:ascii="黑体" w:hAnsi="宋体" w:eastAsia="黑体"/>
          <w:sz w:val="32"/>
          <w:szCs w:val="32"/>
        </w:rPr>
      </w:pPr>
      <w:r>
        <w:rPr>
          <w:rFonts w:hint="eastAsia" w:ascii="黑体" w:hAnsi="宋体" w:eastAsia="黑体"/>
          <w:sz w:val="32"/>
          <w:szCs w:val="32"/>
        </w:rPr>
        <w:t>十、其他</w:t>
      </w:r>
    </w:p>
    <w:p w14:paraId="1FFA481C">
      <w:pPr>
        <w:ind w:firstLine="640" w:firstLineChars="200"/>
        <w:rPr>
          <w:rFonts w:ascii="仿宋_GB2312" w:hAnsi="宋体" w:eastAsia="仿宋_GB2312"/>
          <w:sz w:val="32"/>
          <w:szCs w:val="32"/>
        </w:rPr>
      </w:pPr>
      <w:r>
        <w:rPr>
          <w:rFonts w:hint="eastAsia" w:ascii="仿宋_GB2312" w:hAnsi="宋体" w:eastAsia="仿宋_GB2312"/>
          <w:sz w:val="32"/>
          <w:szCs w:val="32"/>
        </w:rPr>
        <w:t>1.本协议未尽事宜应由双方友好协商解决。对本协议和其附件的任何修改或补充均应采用书面形式。修改或补充文件与本协议不一致的，以该修改或补充文件为准。</w:t>
      </w:r>
    </w:p>
    <w:p w14:paraId="1D22114B">
      <w:pPr>
        <w:ind w:firstLine="640" w:firstLineChars="200"/>
        <w:rPr>
          <w:rFonts w:hint="eastAsia" w:ascii="仿宋_GB2312" w:hAnsi="宋体" w:eastAsia="仿宋_GB2312"/>
          <w:sz w:val="32"/>
          <w:szCs w:val="32"/>
        </w:rPr>
      </w:pPr>
      <w:r>
        <w:rPr>
          <w:rFonts w:hint="eastAsia" w:ascii="仿宋_GB2312" w:hAnsi="宋体" w:eastAsia="仿宋_GB2312"/>
          <w:sz w:val="32"/>
          <w:szCs w:val="32"/>
        </w:rPr>
        <w:t>2.本协议的任何条款被有权机构判定为无效或不得执行的，如该条款不应影响本协议其他条款效力及执行性的，其他条款继续有效，甲乙双方应继续执行有效内容。</w:t>
      </w:r>
    </w:p>
    <w:p w14:paraId="0226623A">
      <w:pPr>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3.双方确认本合同首部载明的地址、联系人为各自接收书面通知、法律文书的有效送达地址。任何一方变更送达地址，应当提前3个工作日书面告知对方，否则按原地址送达即产生送达效力。</w:t>
      </w:r>
    </w:p>
    <w:p w14:paraId="186E1532">
      <w:pPr>
        <w:ind w:firstLine="640" w:firstLineChars="200"/>
        <w:rPr>
          <w:rFonts w:ascii="仿宋_GB2312" w:hAnsi="宋体" w:eastAsia="仿宋_GB2312"/>
          <w:sz w:val="32"/>
          <w:szCs w:val="32"/>
        </w:rPr>
      </w:pPr>
      <w:r>
        <w:rPr>
          <w:rFonts w:hint="eastAsia" w:ascii="仿宋_GB2312" w:hAnsi="宋体" w:eastAsia="仿宋_GB2312"/>
          <w:sz w:val="32"/>
          <w:szCs w:val="32"/>
          <w:lang w:val="en-US" w:eastAsia="zh-CN"/>
        </w:rPr>
        <w:t>4</w:t>
      </w:r>
      <w:r>
        <w:rPr>
          <w:rFonts w:hint="eastAsia" w:ascii="仿宋_GB2312" w:hAnsi="宋体" w:eastAsia="仿宋_GB2312"/>
          <w:sz w:val="32"/>
          <w:szCs w:val="32"/>
        </w:rPr>
        <w:t>.本协议一式肆份，甲方持贰份（其中正本一份、副本一份，副本存档使用），乙方持贰份。本协议对甲乙双方具有同等法律效力。</w:t>
      </w:r>
    </w:p>
    <w:p w14:paraId="12990213">
      <w:pPr>
        <w:ind w:firstLine="640" w:firstLineChars="200"/>
        <w:rPr>
          <w:rFonts w:ascii="仿宋_GB2312" w:hAnsi="宋体" w:eastAsia="仿宋_GB2312"/>
          <w:sz w:val="32"/>
          <w:szCs w:val="32"/>
        </w:rPr>
      </w:pPr>
      <w:r>
        <w:rPr>
          <w:rFonts w:hint="eastAsia" w:ascii="仿宋_GB2312" w:hAnsi="宋体" w:eastAsia="仿宋_GB2312"/>
          <w:sz w:val="32"/>
          <w:szCs w:val="32"/>
          <w:lang w:val="en-US" w:eastAsia="zh-CN"/>
        </w:rPr>
        <w:t>5</w:t>
      </w:r>
      <w:r>
        <w:rPr>
          <w:rFonts w:hint="eastAsia" w:ascii="仿宋_GB2312" w:hAnsi="宋体" w:eastAsia="仿宋_GB2312"/>
          <w:sz w:val="32"/>
          <w:szCs w:val="32"/>
        </w:rPr>
        <w:t>.本协议自双方法定代表人或授权代表签字并盖章之日起生效</w:t>
      </w:r>
      <w:r>
        <w:rPr>
          <w:rFonts w:hint="eastAsia" w:ascii="仿宋_GB2312" w:hAnsi="宋体" w:eastAsia="仿宋_GB2312"/>
          <w:sz w:val="32"/>
          <w:szCs w:val="32"/>
          <w:lang w:eastAsia="zh-CN"/>
        </w:rPr>
        <w:t>，</w:t>
      </w:r>
      <w:r>
        <w:rPr>
          <w:rFonts w:hint="eastAsia" w:ascii="仿宋_GB2312" w:hAnsi="宋体" w:eastAsia="仿宋_GB2312"/>
          <w:sz w:val="32"/>
          <w:szCs w:val="32"/>
        </w:rPr>
        <w:t>至双方权利义务全部履行完毕时</w:t>
      </w:r>
      <w:r>
        <w:rPr>
          <w:rFonts w:hint="eastAsia" w:ascii="仿宋_GB2312" w:hAnsi="宋体" w:eastAsia="仿宋_GB2312"/>
          <w:sz w:val="32"/>
          <w:szCs w:val="32"/>
          <w:lang w:val="en-US" w:eastAsia="zh-CN"/>
        </w:rPr>
        <w:t>止。</w:t>
      </w:r>
      <w:r>
        <w:rPr>
          <w:rFonts w:hint="eastAsia" w:ascii="仿宋_GB2312" w:hAnsi="宋体" w:eastAsia="仿宋_GB2312"/>
          <w:sz w:val="32"/>
          <w:szCs w:val="32"/>
        </w:rPr>
        <w:t>双方签字日期不一致的，自较迟的签字日起生效。【此后无正文】</w:t>
      </w:r>
    </w:p>
    <w:p w14:paraId="02FC967F">
      <w:pPr>
        <w:spacing w:before="156" w:beforeLines="50"/>
        <w:rPr>
          <w:rFonts w:ascii="仿宋_GB2312" w:hAnsi="宋体" w:eastAsia="仿宋_GB2312"/>
          <w:sz w:val="32"/>
          <w:szCs w:val="32"/>
        </w:rPr>
      </w:pPr>
    </w:p>
    <w:tbl>
      <w:tblPr>
        <w:tblStyle w:val="7"/>
        <w:tblW w:w="10144" w:type="dxa"/>
        <w:tblInd w:w="-743" w:type="dxa"/>
        <w:tblLayout w:type="fixed"/>
        <w:tblCellMar>
          <w:top w:w="0" w:type="dxa"/>
          <w:left w:w="108" w:type="dxa"/>
          <w:bottom w:w="0" w:type="dxa"/>
          <w:right w:w="108" w:type="dxa"/>
        </w:tblCellMar>
      </w:tblPr>
      <w:tblGrid>
        <w:gridCol w:w="5009"/>
        <w:gridCol w:w="5135"/>
      </w:tblGrid>
      <w:tr w14:paraId="7813F589">
        <w:tblPrEx>
          <w:tblCellMar>
            <w:top w:w="0" w:type="dxa"/>
            <w:left w:w="108" w:type="dxa"/>
            <w:bottom w:w="0" w:type="dxa"/>
            <w:right w:w="108" w:type="dxa"/>
          </w:tblCellMar>
        </w:tblPrEx>
        <w:trPr>
          <w:wBefore w:w="0" w:type="dxa"/>
        </w:trPr>
        <w:tc>
          <w:tcPr>
            <w:tcW w:w="5009" w:type="dxa"/>
            <w:noWrap w:val="0"/>
            <w:vAlign w:val="top"/>
          </w:tcPr>
          <w:p w14:paraId="359B3DF4">
            <w:pPr>
              <w:spacing w:before="156" w:beforeLines="50"/>
              <w:rPr>
                <w:rFonts w:ascii="仿宋_GB2312" w:hAnsi="宋体" w:eastAsia="仿宋_GB2312"/>
                <w:sz w:val="32"/>
                <w:szCs w:val="32"/>
              </w:rPr>
            </w:pPr>
            <w:r>
              <w:rPr>
                <w:rFonts w:hint="eastAsia" w:ascii="仿宋_GB2312" w:hAnsi="宋体" w:eastAsia="仿宋_GB2312"/>
                <w:sz w:val="32"/>
                <w:szCs w:val="32"/>
              </w:rPr>
              <w:t xml:space="preserve">甲方： </w:t>
            </w:r>
          </w:p>
        </w:tc>
        <w:tc>
          <w:tcPr>
            <w:tcW w:w="5135" w:type="dxa"/>
            <w:noWrap w:val="0"/>
            <w:vAlign w:val="top"/>
          </w:tcPr>
          <w:p w14:paraId="120E54E1">
            <w:pPr>
              <w:spacing w:before="156" w:beforeLines="50"/>
              <w:ind w:left="1120" w:hanging="1120" w:hangingChars="350"/>
              <w:rPr>
                <w:rFonts w:ascii="仿宋_GB2312" w:hAnsi="宋体" w:eastAsia="仿宋_GB2312"/>
                <w:sz w:val="32"/>
                <w:szCs w:val="32"/>
              </w:rPr>
            </w:pPr>
            <w:r>
              <w:rPr>
                <w:rFonts w:hint="eastAsia" w:ascii="仿宋_GB2312" w:hAnsi="宋体" w:eastAsia="仿宋_GB2312"/>
                <w:sz w:val="32"/>
                <w:szCs w:val="32"/>
              </w:rPr>
              <w:t>乙方：</w:t>
            </w:r>
            <w:r>
              <w:rPr>
                <w:rFonts w:ascii="仿宋_GB2312" w:hAnsi="宋体" w:eastAsia="仿宋_GB2312"/>
                <w:sz w:val="32"/>
                <w:szCs w:val="32"/>
              </w:rPr>
              <w:t xml:space="preserve"> </w:t>
            </w:r>
          </w:p>
        </w:tc>
      </w:tr>
      <w:tr w14:paraId="7A5103DA">
        <w:tblPrEx>
          <w:tblCellMar>
            <w:top w:w="0" w:type="dxa"/>
            <w:left w:w="108" w:type="dxa"/>
            <w:bottom w:w="0" w:type="dxa"/>
            <w:right w:w="108" w:type="dxa"/>
          </w:tblCellMar>
        </w:tblPrEx>
        <w:trPr>
          <w:wBefore w:w="0" w:type="dxa"/>
        </w:trPr>
        <w:tc>
          <w:tcPr>
            <w:tcW w:w="5009" w:type="dxa"/>
            <w:noWrap w:val="0"/>
            <w:vAlign w:val="top"/>
          </w:tcPr>
          <w:p w14:paraId="736B976B">
            <w:pPr>
              <w:spacing w:before="156" w:beforeLines="50"/>
              <w:rPr>
                <w:rFonts w:ascii="仿宋_GB2312" w:hAnsi="宋体" w:eastAsia="仿宋_GB2312"/>
                <w:sz w:val="32"/>
                <w:szCs w:val="32"/>
              </w:rPr>
            </w:pPr>
            <w:r>
              <w:rPr>
                <w:rFonts w:hint="eastAsia" w:ascii="仿宋_GB2312" w:hAnsi="宋体" w:eastAsia="仿宋_GB2312"/>
                <w:sz w:val="32"/>
                <w:szCs w:val="32"/>
              </w:rPr>
              <w:t xml:space="preserve">          （盖章）   </w:t>
            </w:r>
          </w:p>
        </w:tc>
        <w:tc>
          <w:tcPr>
            <w:tcW w:w="5135" w:type="dxa"/>
            <w:noWrap w:val="0"/>
            <w:vAlign w:val="top"/>
          </w:tcPr>
          <w:p w14:paraId="1E579549">
            <w:pPr>
              <w:spacing w:before="156" w:beforeLines="50"/>
              <w:jc w:val="center"/>
              <w:rPr>
                <w:rFonts w:ascii="仿宋_GB2312" w:hAnsi="宋体" w:eastAsia="仿宋_GB2312"/>
                <w:sz w:val="32"/>
                <w:szCs w:val="32"/>
              </w:rPr>
            </w:pPr>
            <w:r>
              <w:rPr>
                <w:rFonts w:hint="eastAsia" w:ascii="仿宋_GB2312" w:hAnsi="宋体" w:eastAsia="仿宋_GB2312"/>
                <w:sz w:val="32"/>
                <w:szCs w:val="32"/>
              </w:rPr>
              <w:t>（盖章）</w:t>
            </w:r>
          </w:p>
        </w:tc>
      </w:tr>
      <w:tr w14:paraId="6F6F4000">
        <w:tblPrEx>
          <w:tblCellMar>
            <w:top w:w="0" w:type="dxa"/>
            <w:left w:w="108" w:type="dxa"/>
            <w:bottom w:w="0" w:type="dxa"/>
            <w:right w:w="108" w:type="dxa"/>
          </w:tblCellMar>
        </w:tblPrEx>
        <w:trPr>
          <w:wBefore w:w="0" w:type="dxa"/>
        </w:trPr>
        <w:tc>
          <w:tcPr>
            <w:tcW w:w="5009" w:type="dxa"/>
            <w:noWrap w:val="0"/>
            <w:vAlign w:val="top"/>
          </w:tcPr>
          <w:p w14:paraId="30C315BE">
            <w:pPr>
              <w:spacing w:before="156" w:beforeLines="50"/>
              <w:rPr>
                <w:rFonts w:ascii="仿宋_GB2312" w:hAnsi="宋体" w:eastAsia="仿宋_GB2312"/>
                <w:sz w:val="32"/>
                <w:szCs w:val="32"/>
              </w:rPr>
            </w:pPr>
            <w:r>
              <w:rPr>
                <w:rFonts w:hint="eastAsia" w:ascii="仿宋_GB2312" w:hAnsi="宋体" w:eastAsia="仿宋_GB2312"/>
                <w:sz w:val="32"/>
                <w:szCs w:val="32"/>
              </w:rPr>
              <w:t>授权代表（签字）：</w:t>
            </w:r>
          </w:p>
        </w:tc>
        <w:tc>
          <w:tcPr>
            <w:tcW w:w="5135" w:type="dxa"/>
            <w:noWrap w:val="0"/>
            <w:vAlign w:val="top"/>
          </w:tcPr>
          <w:p w14:paraId="5F0220D8">
            <w:pPr>
              <w:spacing w:before="156" w:beforeLines="50"/>
              <w:rPr>
                <w:rFonts w:ascii="仿宋_GB2312" w:hAnsi="宋体" w:eastAsia="仿宋_GB2312"/>
                <w:sz w:val="32"/>
                <w:szCs w:val="32"/>
              </w:rPr>
            </w:pPr>
            <w:r>
              <w:rPr>
                <w:rFonts w:hint="eastAsia" w:ascii="仿宋_GB2312" w:hAnsi="宋体" w:eastAsia="仿宋_GB2312"/>
                <w:sz w:val="32"/>
                <w:szCs w:val="32"/>
              </w:rPr>
              <w:t>授权代表（签字）：</w:t>
            </w:r>
          </w:p>
          <w:p w14:paraId="07068BBB">
            <w:pPr>
              <w:spacing w:before="156" w:beforeLines="50"/>
              <w:rPr>
                <w:rFonts w:ascii="仿宋_GB2312" w:hAnsi="宋体" w:eastAsia="仿宋_GB2312"/>
                <w:sz w:val="32"/>
                <w:szCs w:val="32"/>
              </w:rPr>
            </w:pPr>
          </w:p>
        </w:tc>
      </w:tr>
      <w:tr w14:paraId="75EF5641">
        <w:tblPrEx>
          <w:tblCellMar>
            <w:top w:w="0" w:type="dxa"/>
            <w:left w:w="108" w:type="dxa"/>
            <w:bottom w:w="0" w:type="dxa"/>
            <w:right w:w="108" w:type="dxa"/>
          </w:tblCellMar>
        </w:tblPrEx>
        <w:trPr>
          <w:wBefore w:w="0" w:type="dxa"/>
        </w:trPr>
        <w:tc>
          <w:tcPr>
            <w:tcW w:w="5009" w:type="dxa"/>
            <w:noWrap w:val="0"/>
            <w:vAlign w:val="top"/>
          </w:tcPr>
          <w:p w14:paraId="14BCFD86">
            <w:pPr>
              <w:spacing w:before="156" w:beforeLines="50"/>
              <w:rPr>
                <w:rFonts w:ascii="仿宋_GB2312" w:hAnsi="宋体" w:eastAsia="仿宋_GB2312"/>
                <w:sz w:val="32"/>
                <w:szCs w:val="32"/>
              </w:rPr>
            </w:pPr>
            <w:r>
              <w:rPr>
                <w:rFonts w:hint="eastAsia" w:ascii="仿宋_GB2312" w:hAnsi="宋体" w:eastAsia="仿宋_GB2312"/>
                <w:sz w:val="32"/>
                <w:szCs w:val="32"/>
              </w:rPr>
              <w:t>日期：   年   月   日</w:t>
            </w:r>
          </w:p>
        </w:tc>
        <w:tc>
          <w:tcPr>
            <w:tcW w:w="5135" w:type="dxa"/>
            <w:noWrap w:val="0"/>
            <w:vAlign w:val="top"/>
          </w:tcPr>
          <w:p w14:paraId="0FD6D90C">
            <w:pPr>
              <w:spacing w:before="156" w:beforeLines="50"/>
              <w:rPr>
                <w:rFonts w:ascii="仿宋_GB2312" w:hAnsi="宋体" w:eastAsia="仿宋_GB2312"/>
                <w:sz w:val="32"/>
                <w:szCs w:val="32"/>
              </w:rPr>
            </w:pPr>
            <w:r>
              <w:rPr>
                <w:rFonts w:hint="eastAsia" w:ascii="仿宋_GB2312" w:hAnsi="宋体" w:eastAsia="仿宋_GB2312"/>
                <w:sz w:val="32"/>
                <w:szCs w:val="32"/>
              </w:rPr>
              <w:t>日期：  年   月   日</w:t>
            </w:r>
          </w:p>
        </w:tc>
      </w:tr>
      <w:tr w14:paraId="04FED79C">
        <w:tblPrEx>
          <w:tblCellMar>
            <w:top w:w="0" w:type="dxa"/>
            <w:left w:w="108" w:type="dxa"/>
            <w:bottom w:w="0" w:type="dxa"/>
            <w:right w:w="108" w:type="dxa"/>
          </w:tblCellMar>
        </w:tblPrEx>
        <w:trPr>
          <w:wBefore w:w="0" w:type="dxa"/>
        </w:trPr>
        <w:tc>
          <w:tcPr>
            <w:tcW w:w="5009" w:type="dxa"/>
            <w:noWrap w:val="0"/>
            <w:vAlign w:val="top"/>
          </w:tcPr>
          <w:p w14:paraId="1BBA5C31">
            <w:pPr>
              <w:spacing w:before="156" w:beforeLines="50"/>
              <w:rPr>
                <w:rFonts w:hint="eastAsia" w:ascii="仿宋_GB2312" w:hAnsi="宋体" w:eastAsia="仿宋_GB2312"/>
                <w:sz w:val="32"/>
                <w:szCs w:val="32"/>
              </w:rPr>
            </w:pPr>
          </w:p>
        </w:tc>
        <w:tc>
          <w:tcPr>
            <w:tcW w:w="5135" w:type="dxa"/>
            <w:noWrap w:val="0"/>
            <w:vAlign w:val="top"/>
          </w:tcPr>
          <w:p w14:paraId="54CFBDBA">
            <w:pPr>
              <w:spacing w:before="156" w:beforeLines="50"/>
              <w:rPr>
                <w:rFonts w:hint="eastAsia" w:ascii="仿宋_GB2312" w:hAnsi="宋体" w:eastAsia="仿宋_GB2312"/>
                <w:sz w:val="32"/>
                <w:szCs w:val="32"/>
              </w:rPr>
            </w:pPr>
          </w:p>
        </w:tc>
      </w:tr>
    </w:tbl>
    <w:p w14:paraId="6DFBD300"/>
    <w:sectPr>
      <w:footerReference r:id="rId5" w:type="default"/>
      <w:pgSz w:w="11906" w:h="16838"/>
      <w:pgMar w:top="1440" w:right="1800" w:bottom="1440" w:left="1800" w:header="851" w:footer="992" w:gutter="0"/>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心照" w:date="2026-04-10T17:02:00Z" w:initials="">
    <w:p w14:paraId="3F16DD10">
      <w:pPr>
        <w:pStyle w:val="2"/>
      </w:pPr>
      <w:r>
        <w:annotationRef/>
      </w:r>
    </w:p>
  </w:comment>
  <w:comment w:id="1" w:author="心照" w:date="2026-04-10T17:02:00Z" w:initials="">
    <w:p w14:paraId="7830F084">
      <w:pPr>
        <w:pStyle w:val="2"/>
      </w:pPr>
      <w: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F16DD10" w15:done="0"/>
  <w15:commentEx w15:paraId="7830F08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Neue">
    <w:altName w:val="Corbel"/>
    <w:panose1 w:val="02000503000000020004"/>
    <w:charset w:val="00"/>
    <w:family w:val="auto"/>
    <w:pitch w:val="default"/>
    <w:sig w:usb0="00000000" w:usb1="00000000" w:usb2="00000010" w:usb3="00000000" w:csb0="00000000" w:csb1="00000000"/>
  </w:font>
  <w:font w:name="仿宋_GB2312">
    <w:altName w:val="仿宋"/>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A44F48">
    <w:pPr>
      <w:pStyle w:val="4"/>
      <w:jc w:val="cente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lang/>
      </w:rPr>
      <w:t>1</w:t>
    </w:r>
    <w:r>
      <w:rPr>
        <w:rFonts w:hint="eastAsia"/>
      </w:rPr>
      <w:fldChar w:fldCharType="end"/>
    </w:r>
    <w:r>
      <w:rPr>
        <w:rFonts w:hint="eastAsia"/>
      </w:rPr>
      <w:t xml:space="preserve"> 页 共 </w:t>
    </w:r>
    <w:r>
      <w:fldChar w:fldCharType="begin"/>
    </w:r>
    <w:r>
      <w:instrText xml:space="preserve"> NUMPAGES  \* MERGEFORMAT </w:instrText>
    </w:r>
    <w:r>
      <w:fldChar w:fldCharType="separate"/>
    </w:r>
    <w:r>
      <w:rPr>
        <w:lang/>
      </w:rPr>
      <w:t>11</w:t>
    </w:r>
    <w:r>
      <w:fldChar w:fldCharType="end"/>
    </w:r>
    <w:r>
      <w:rPr>
        <w:rFonts w:hint="eastAsia"/>
      </w:rPr>
      <w:t xml:space="preserve"> 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5E715B"/>
    <w:multiLevelType w:val="multilevel"/>
    <w:tmpl w:val="185E715B"/>
    <w:lvl w:ilvl="0" w:tentative="0">
      <w:start w:val="1"/>
      <w:numFmt w:val="decimal"/>
      <w:lvlText w:val="%1."/>
      <w:lvlJc w:val="left"/>
      <w:pPr>
        <w:ind w:left="1000" w:hanging="360"/>
      </w:pPr>
      <w:rPr>
        <w:rFonts w:hint="default"/>
      </w:rPr>
    </w:lvl>
    <w:lvl w:ilvl="1" w:tentative="0">
      <w:start w:val="1"/>
      <w:numFmt w:val="lowerLetter"/>
      <w:lvlText w:val="%2)"/>
      <w:lvlJc w:val="left"/>
      <w:pPr>
        <w:ind w:left="1520" w:hanging="440"/>
      </w:pPr>
    </w:lvl>
    <w:lvl w:ilvl="2" w:tentative="0">
      <w:start w:val="1"/>
      <w:numFmt w:val="lowerRoman"/>
      <w:lvlText w:val="%3."/>
      <w:lvlJc w:val="right"/>
      <w:pPr>
        <w:ind w:left="1960" w:hanging="440"/>
      </w:pPr>
    </w:lvl>
    <w:lvl w:ilvl="3" w:tentative="0">
      <w:start w:val="1"/>
      <w:numFmt w:val="decimal"/>
      <w:lvlText w:val="%4."/>
      <w:lvlJc w:val="left"/>
      <w:pPr>
        <w:ind w:left="2400" w:hanging="440"/>
      </w:pPr>
    </w:lvl>
    <w:lvl w:ilvl="4" w:tentative="0">
      <w:start w:val="1"/>
      <w:numFmt w:val="lowerLetter"/>
      <w:lvlText w:val="%5)"/>
      <w:lvlJc w:val="left"/>
      <w:pPr>
        <w:ind w:left="2840" w:hanging="440"/>
      </w:pPr>
    </w:lvl>
    <w:lvl w:ilvl="5" w:tentative="0">
      <w:start w:val="1"/>
      <w:numFmt w:val="lowerRoman"/>
      <w:lvlText w:val="%6."/>
      <w:lvlJc w:val="right"/>
      <w:pPr>
        <w:ind w:left="3280" w:hanging="440"/>
      </w:pPr>
    </w:lvl>
    <w:lvl w:ilvl="6" w:tentative="0">
      <w:start w:val="1"/>
      <w:numFmt w:val="decimal"/>
      <w:lvlText w:val="%7."/>
      <w:lvlJc w:val="left"/>
      <w:pPr>
        <w:ind w:left="3720" w:hanging="440"/>
      </w:pPr>
    </w:lvl>
    <w:lvl w:ilvl="7" w:tentative="0">
      <w:start w:val="1"/>
      <w:numFmt w:val="lowerLetter"/>
      <w:lvlText w:val="%8)"/>
      <w:lvlJc w:val="left"/>
      <w:pPr>
        <w:ind w:left="4160" w:hanging="440"/>
      </w:pPr>
    </w:lvl>
    <w:lvl w:ilvl="8" w:tentative="0">
      <w:start w:val="1"/>
      <w:numFmt w:val="lowerRoman"/>
      <w:lvlText w:val="%9."/>
      <w:lvlJc w:val="right"/>
      <w:pPr>
        <w:ind w:left="4600" w:hanging="44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心照">
    <w15:presenceInfo w15:providerId="None" w15:userId="心照"/>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Q2YTk1ZjY2MTFkNTNhZWQxYzRiOTJlNDg2ZDY2ZTEifQ=="/>
  </w:docVars>
  <w:rsids>
    <w:rsidRoot w:val="00CE7433"/>
    <w:rsid w:val="00003269"/>
    <w:rsid w:val="00003FE5"/>
    <w:rsid w:val="00013295"/>
    <w:rsid w:val="00023AAF"/>
    <w:rsid w:val="00025CF0"/>
    <w:rsid w:val="00027F70"/>
    <w:rsid w:val="00030951"/>
    <w:rsid w:val="00054F8A"/>
    <w:rsid w:val="00061C0B"/>
    <w:rsid w:val="000621D6"/>
    <w:rsid w:val="00075A81"/>
    <w:rsid w:val="00096A9E"/>
    <w:rsid w:val="000B67BA"/>
    <w:rsid w:val="000B7E52"/>
    <w:rsid w:val="000C1B10"/>
    <w:rsid w:val="000F19B0"/>
    <w:rsid w:val="00103BCD"/>
    <w:rsid w:val="00112060"/>
    <w:rsid w:val="00113ED6"/>
    <w:rsid w:val="00116B40"/>
    <w:rsid w:val="001250AC"/>
    <w:rsid w:val="0013198C"/>
    <w:rsid w:val="001334E4"/>
    <w:rsid w:val="001348F4"/>
    <w:rsid w:val="001368B6"/>
    <w:rsid w:val="00140825"/>
    <w:rsid w:val="001424A9"/>
    <w:rsid w:val="0014343F"/>
    <w:rsid w:val="0014358A"/>
    <w:rsid w:val="00147A0D"/>
    <w:rsid w:val="00147A8D"/>
    <w:rsid w:val="001521B6"/>
    <w:rsid w:val="00174585"/>
    <w:rsid w:val="00184A49"/>
    <w:rsid w:val="00190660"/>
    <w:rsid w:val="001952DE"/>
    <w:rsid w:val="001A3DAE"/>
    <w:rsid w:val="001A5F0E"/>
    <w:rsid w:val="001A61B1"/>
    <w:rsid w:val="001B004D"/>
    <w:rsid w:val="001B03F4"/>
    <w:rsid w:val="001B407D"/>
    <w:rsid w:val="001D202E"/>
    <w:rsid w:val="001E11E0"/>
    <w:rsid w:val="001E680E"/>
    <w:rsid w:val="001F06B9"/>
    <w:rsid w:val="001F3C66"/>
    <w:rsid w:val="001F4022"/>
    <w:rsid w:val="001F5897"/>
    <w:rsid w:val="00202E9B"/>
    <w:rsid w:val="00220384"/>
    <w:rsid w:val="00221390"/>
    <w:rsid w:val="002226FA"/>
    <w:rsid w:val="0022559C"/>
    <w:rsid w:val="00250F72"/>
    <w:rsid w:val="0025227D"/>
    <w:rsid w:val="002528A6"/>
    <w:rsid w:val="00277C3F"/>
    <w:rsid w:val="00280212"/>
    <w:rsid w:val="00283934"/>
    <w:rsid w:val="00283938"/>
    <w:rsid w:val="00286300"/>
    <w:rsid w:val="002A53D9"/>
    <w:rsid w:val="002A5DAF"/>
    <w:rsid w:val="002B4568"/>
    <w:rsid w:val="002C0155"/>
    <w:rsid w:val="002C5362"/>
    <w:rsid w:val="002D4CBF"/>
    <w:rsid w:val="002E34A7"/>
    <w:rsid w:val="002F0A11"/>
    <w:rsid w:val="00300C42"/>
    <w:rsid w:val="00303334"/>
    <w:rsid w:val="00323AA6"/>
    <w:rsid w:val="003404ED"/>
    <w:rsid w:val="003422ED"/>
    <w:rsid w:val="003445F0"/>
    <w:rsid w:val="00355F8E"/>
    <w:rsid w:val="00357B62"/>
    <w:rsid w:val="003659BB"/>
    <w:rsid w:val="00366989"/>
    <w:rsid w:val="00394105"/>
    <w:rsid w:val="003974E6"/>
    <w:rsid w:val="003B4D3A"/>
    <w:rsid w:val="003B4EB1"/>
    <w:rsid w:val="003C1110"/>
    <w:rsid w:val="003C68F9"/>
    <w:rsid w:val="003C6B34"/>
    <w:rsid w:val="003E3D36"/>
    <w:rsid w:val="003F17D5"/>
    <w:rsid w:val="003F31CB"/>
    <w:rsid w:val="003F6B87"/>
    <w:rsid w:val="00403148"/>
    <w:rsid w:val="00405947"/>
    <w:rsid w:val="004064DB"/>
    <w:rsid w:val="004115B0"/>
    <w:rsid w:val="004164EF"/>
    <w:rsid w:val="004303B8"/>
    <w:rsid w:val="00434248"/>
    <w:rsid w:val="00453FCC"/>
    <w:rsid w:val="00455FA5"/>
    <w:rsid w:val="00462B71"/>
    <w:rsid w:val="00481137"/>
    <w:rsid w:val="0048154E"/>
    <w:rsid w:val="004861E4"/>
    <w:rsid w:val="004967D4"/>
    <w:rsid w:val="004A22E8"/>
    <w:rsid w:val="004B0654"/>
    <w:rsid w:val="004B297B"/>
    <w:rsid w:val="004D2C5A"/>
    <w:rsid w:val="004D6379"/>
    <w:rsid w:val="004F00AB"/>
    <w:rsid w:val="005118D5"/>
    <w:rsid w:val="00517D9A"/>
    <w:rsid w:val="005218DC"/>
    <w:rsid w:val="00532AA1"/>
    <w:rsid w:val="005421D2"/>
    <w:rsid w:val="0054536C"/>
    <w:rsid w:val="00556568"/>
    <w:rsid w:val="005679D1"/>
    <w:rsid w:val="00571A4E"/>
    <w:rsid w:val="005726D9"/>
    <w:rsid w:val="00574813"/>
    <w:rsid w:val="005851A1"/>
    <w:rsid w:val="005A1F30"/>
    <w:rsid w:val="005B3D5C"/>
    <w:rsid w:val="005C0A7C"/>
    <w:rsid w:val="005C166A"/>
    <w:rsid w:val="005D0AD2"/>
    <w:rsid w:val="005D7485"/>
    <w:rsid w:val="005E44DF"/>
    <w:rsid w:val="005E4AC7"/>
    <w:rsid w:val="00603F4E"/>
    <w:rsid w:val="0060671A"/>
    <w:rsid w:val="006122BF"/>
    <w:rsid w:val="00632828"/>
    <w:rsid w:val="00640394"/>
    <w:rsid w:val="00656925"/>
    <w:rsid w:val="006728C5"/>
    <w:rsid w:val="006758A2"/>
    <w:rsid w:val="00686C98"/>
    <w:rsid w:val="00690B8C"/>
    <w:rsid w:val="006A4E90"/>
    <w:rsid w:val="006A574C"/>
    <w:rsid w:val="006A5D7D"/>
    <w:rsid w:val="006A63D0"/>
    <w:rsid w:val="006C52DF"/>
    <w:rsid w:val="006D1A49"/>
    <w:rsid w:val="006D411A"/>
    <w:rsid w:val="006E1FF5"/>
    <w:rsid w:val="006F1B0A"/>
    <w:rsid w:val="007007B6"/>
    <w:rsid w:val="007009DC"/>
    <w:rsid w:val="00707DFF"/>
    <w:rsid w:val="00715DEC"/>
    <w:rsid w:val="00717D39"/>
    <w:rsid w:val="00723A43"/>
    <w:rsid w:val="00724F64"/>
    <w:rsid w:val="0072700F"/>
    <w:rsid w:val="00737A75"/>
    <w:rsid w:val="00742B0E"/>
    <w:rsid w:val="00747D82"/>
    <w:rsid w:val="00751BE3"/>
    <w:rsid w:val="00751F41"/>
    <w:rsid w:val="0077339F"/>
    <w:rsid w:val="00781886"/>
    <w:rsid w:val="00784299"/>
    <w:rsid w:val="007932E4"/>
    <w:rsid w:val="00794003"/>
    <w:rsid w:val="00794EB2"/>
    <w:rsid w:val="007A5C60"/>
    <w:rsid w:val="007B767E"/>
    <w:rsid w:val="007C09CA"/>
    <w:rsid w:val="007D49E4"/>
    <w:rsid w:val="008222F7"/>
    <w:rsid w:val="00823F8C"/>
    <w:rsid w:val="0083175A"/>
    <w:rsid w:val="00855937"/>
    <w:rsid w:val="00867008"/>
    <w:rsid w:val="00874489"/>
    <w:rsid w:val="008759BD"/>
    <w:rsid w:val="0087687D"/>
    <w:rsid w:val="00885CCD"/>
    <w:rsid w:val="00887CD6"/>
    <w:rsid w:val="008926AE"/>
    <w:rsid w:val="008A1BC8"/>
    <w:rsid w:val="008A2622"/>
    <w:rsid w:val="008A5367"/>
    <w:rsid w:val="008A765B"/>
    <w:rsid w:val="008B4462"/>
    <w:rsid w:val="008E6EE1"/>
    <w:rsid w:val="00904E2C"/>
    <w:rsid w:val="009125BF"/>
    <w:rsid w:val="009145AC"/>
    <w:rsid w:val="009169B7"/>
    <w:rsid w:val="00923ED7"/>
    <w:rsid w:val="00935155"/>
    <w:rsid w:val="00973EBA"/>
    <w:rsid w:val="00986505"/>
    <w:rsid w:val="00992401"/>
    <w:rsid w:val="00993DF4"/>
    <w:rsid w:val="009B12E5"/>
    <w:rsid w:val="009C1FB2"/>
    <w:rsid w:val="009C2599"/>
    <w:rsid w:val="009C703E"/>
    <w:rsid w:val="009D37E4"/>
    <w:rsid w:val="009D3ED2"/>
    <w:rsid w:val="009D79FD"/>
    <w:rsid w:val="009E76AA"/>
    <w:rsid w:val="009F6FF2"/>
    <w:rsid w:val="00A16537"/>
    <w:rsid w:val="00A20AA4"/>
    <w:rsid w:val="00A233FD"/>
    <w:rsid w:val="00A331EC"/>
    <w:rsid w:val="00A379CC"/>
    <w:rsid w:val="00A40005"/>
    <w:rsid w:val="00A47007"/>
    <w:rsid w:val="00A47676"/>
    <w:rsid w:val="00A5425F"/>
    <w:rsid w:val="00A6681F"/>
    <w:rsid w:val="00A67061"/>
    <w:rsid w:val="00A73A9C"/>
    <w:rsid w:val="00A80890"/>
    <w:rsid w:val="00A80962"/>
    <w:rsid w:val="00AA0B84"/>
    <w:rsid w:val="00AA221B"/>
    <w:rsid w:val="00AC0F18"/>
    <w:rsid w:val="00AD0A95"/>
    <w:rsid w:val="00AD403A"/>
    <w:rsid w:val="00AD4780"/>
    <w:rsid w:val="00AD786F"/>
    <w:rsid w:val="00AE354E"/>
    <w:rsid w:val="00AF00BA"/>
    <w:rsid w:val="00AF7CCC"/>
    <w:rsid w:val="00B3462D"/>
    <w:rsid w:val="00B5063B"/>
    <w:rsid w:val="00B52A5E"/>
    <w:rsid w:val="00B67DF8"/>
    <w:rsid w:val="00B7150D"/>
    <w:rsid w:val="00B7266B"/>
    <w:rsid w:val="00B776F4"/>
    <w:rsid w:val="00B81890"/>
    <w:rsid w:val="00B827A6"/>
    <w:rsid w:val="00B8380D"/>
    <w:rsid w:val="00B85663"/>
    <w:rsid w:val="00B959AF"/>
    <w:rsid w:val="00B96CFB"/>
    <w:rsid w:val="00BA1202"/>
    <w:rsid w:val="00BA4964"/>
    <w:rsid w:val="00BB6C20"/>
    <w:rsid w:val="00BC34D8"/>
    <w:rsid w:val="00BC3876"/>
    <w:rsid w:val="00BC4A0B"/>
    <w:rsid w:val="00BD5E5B"/>
    <w:rsid w:val="00BE65A7"/>
    <w:rsid w:val="00BE6CE5"/>
    <w:rsid w:val="00BF262A"/>
    <w:rsid w:val="00C01C28"/>
    <w:rsid w:val="00C020D6"/>
    <w:rsid w:val="00C12B9C"/>
    <w:rsid w:val="00C177D5"/>
    <w:rsid w:val="00C30D24"/>
    <w:rsid w:val="00C30E42"/>
    <w:rsid w:val="00C475E5"/>
    <w:rsid w:val="00C601DA"/>
    <w:rsid w:val="00C71B4F"/>
    <w:rsid w:val="00C85A41"/>
    <w:rsid w:val="00CA14EC"/>
    <w:rsid w:val="00CA4B11"/>
    <w:rsid w:val="00CA7279"/>
    <w:rsid w:val="00CB57A0"/>
    <w:rsid w:val="00CB6C5A"/>
    <w:rsid w:val="00CC4F3D"/>
    <w:rsid w:val="00CD1113"/>
    <w:rsid w:val="00CD1CB9"/>
    <w:rsid w:val="00CD28F4"/>
    <w:rsid w:val="00CD48C0"/>
    <w:rsid w:val="00CE0B09"/>
    <w:rsid w:val="00CE7433"/>
    <w:rsid w:val="00CF3A44"/>
    <w:rsid w:val="00CF45B5"/>
    <w:rsid w:val="00CF689A"/>
    <w:rsid w:val="00D0309A"/>
    <w:rsid w:val="00D05777"/>
    <w:rsid w:val="00D05B72"/>
    <w:rsid w:val="00D07642"/>
    <w:rsid w:val="00D12007"/>
    <w:rsid w:val="00D250D4"/>
    <w:rsid w:val="00D34121"/>
    <w:rsid w:val="00D3634D"/>
    <w:rsid w:val="00D456B1"/>
    <w:rsid w:val="00D57042"/>
    <w:rsid w:val="00D60BDC"/>
    <w:rsid w:val="00D73EBA"/>
    <w:rsid w:val="00D75138"/>
    <w:rsid w:val="00D80F81"/>
    <w:rsid w:val="00D824ED"/>
    <w:rsid w:val="00D94BB7"/>
    <w:rsid w:val="00DA0C4C"/>
    <w:rsid w:val="00DA1E74"/>
    <w:rsid w:val="00DA2EF0"/>
    <w:rsid w:val="00DA6612"/>
    <w:rsid w:val="00DB12BD"/>
    <w:rsid w:val="00DC165C"/>
    <w:rsid w:val="00DD6C77"/>
    <w:rsid w:val="00DD6CFF"/>
    <w:rsid w:val="00DE36C4"/>
    <w:rsid w:val="00E01B6D"/>
    <w:rsid w:val="00E237F4"/>
    <w:rsid w:val="00E42EA6"/>
    <w:rsid w:val="00E42F6D"/>
    <w:rsid w:val="00E50BAC"/>
    <w:rsid w:val="00E5279D"/>
    <w:rsid w:val="00E551A0"/>
    <w:rsid w:val="00E554D5"/>
    <w:rsid w:val="00E66609"/>
    <w:rsid w:val="00E72082"/>
    <w:rsid w:val="00E80D01"/>
    <w:rsid w:val="00E80E6B"/>
    <w:rsid w:val="00E8546A"/>
    <w:rsid w:val="00EA0BC2"/>
    <w:rsid w:val="00EB0BBA"/>
    <w:rsid w:val="00EC0111"/>
    <w:rsid w:val="00EC265E"/>
    <w:rsid w:val="00EC315F"/>
    <w:rsid w:val="00ED4AAB"/>
    <w:rsid w:val="00EE25E4"/>
    <w:rsid w:val="00EF24AE"/>
    <w:rsid w:val="00F015FB"/>
    <w:rsid w:val="00F017CC"/>
    <w:rsid w:val="00F0765A"/>
    <w:rsid w:val="00F1558A"/>
    <w:rsid w:val="00F15792"/>
    <w:rsid w:val="00F27A96"/>
    <w:rsid w:val="00F368A0"/>
    <w:rsid w:val="00F371A8"/>
    <w:rsid w:val="00F55F5E"/>
    <w:rsid w:val="00F66D7A"/>
    <w:rsid w:val="00FA2972"/>
    <w:rsid w:val="00FA6037"/>
    <w:rsid w:val="00FD48AE"/>
    <w:rsid w:val="00FE46D0"/>
    <w:rsid w:val="00FE61C7"/>
    <w:rsid w:val="00FF0150"/>
    <w:rsid w:val="00FF5BBD"/>
    <w:rsid w:val="015506F3"/>
    <w:rsid w:val="01C85E6B"/>
    <w:rsid w:val="03AE4804"/>
    <w:rsid w:val="0BF07D3A"/>
    <w:rsid w:val="12F76EF2"/>
    <w:rsid w:val="14107A09"/>
    <w:rsid w:val="150E67F4"/>
    <w:rsid w:val="15E87A01"/>
    <w:rsid w:val="16A93F71"/>
    <w:rsid w:val="17BF2CEB"/>
    <w:rsid w:val="1B830C60"/>
    <w:rsid w:val="1BFD5C33"/>
    <w:rsid w:val="1CB00EAB"/>
    <w:rsid w:val="1F4B0F85"/>
    <w:rsid w:val="20012B1A"/>
    <w:rsid w:val="21111A29"/>
    <w:rsid w:val="23E62086"/>
    <w:rsid w:val="23FC78FA"/>
    <w:rsid w:val="269D33CA"/>
    <w:rsid w:val="27947091"/>
    <w:rsid w:val="28BC0174"/>
    <w:rsid w:val="298F407A"/>
    <w:rsid w:val="2EED4D97"/>
    <w:rsid w:val="2FB725D1"/>
    <w:rsid w:val="37005E48"/>
    <w:rsid w:val="3AD5558C"/>
    <w:rsid w:val="3C1767AC"/>
    <w:rsid w:val="3CA613BC"/>
    <w:rsid w:val="3FF9B81C"/>
    <w:rsid w:val="405E6252"/>
    <w:rsid w:val="40F85DA3"/>
    <w:rsid w:val="42082BC8"/>
    <w:rsid w:val="4CCC7A3A"/>
    <w:rsid w:val="4EDE66AD"/>
    <w:rsid w:val="51443312"/>
    <w:rsid w:val="51603776"/>
    <w:rsid w:val="595E05BB"/>
    <w:rsid w:val="59911A8C"/>
    <w:rsid w:val="5A730A74"/>
    <w:rsid w:val="5D2F2E94"/>
    <w:rsid w:val="6118441E"/>
    <w:rsid w:val="61AA4437"/>
    <w:rsid w:val="61AF14E6"/>
    <w:rsid w:val="626E0F24"/>
    <w:rsid w:val="62BF2433"/>
    <w:rsid w:val="62D665B5"/>
    <w:rsid w:val="63A90845"/>
    <w:rsid w:val="63DF08C9"/>
    <w:rsid w:val="654921D8"/>
    <w:rsid w:val="656116CE"/>
    <w:rsid w:val="6BC50D48"/>
    <w:rsid w:val="6BD44FAF"/>
    <w:rsid w:val="6D9140D2"/>
    <w:rsid w:val="71212C8D"/>
    <w:rsid w:val="72AD4446"/>
    <w:rsid w:val="74925C00"/>
    <w:rsid w:val="77F36294"/>
    <w:rsid w:val="7CD27D3C"/>
    <w:rsid w:val="7D822376"/>
    <w:rsid w:val="7DAF19AD"/>
    <w:rsid w:val="7E90302F"/>
    <w:rsid w:val="C89B0D2C"/>
    <w:rsid w:val="D2EA3259"/>
    <w:rsid w:val="DFFDAD29"/>
    <w:rsid w:val="DFFF9E51"/>
    <w:rsid w:val="EF5DA8CC"/>
    <w:rsid w:val="FD4AD268"/>
    <w:rsid w:val="FDBD52F3"/>
    <w:rsid w:val="FFBF3CA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9">
    <w:name w:val="Default Paragraph Font"/>
    <w:unhideWhenUsed/>
    <w:uiPriority w:val="1"/>
  </w:style>
  <w:style w:type="table" w:default="1" w:styleId="7">
    <w:name w:val="Normal Table"/>
    <w:unhideWhenUsed/>
    <w:qFormat/>
    <w:uiPriority w:val="99"/>
    <w:tblPr>
      <w:tblStyle w:val="7"/>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semiHidden/>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table" w:styleId="8">
    <w:name w:val="Table Grid"/>
    <w:basedOn w:val="7"/>
    <w:qFormat/>
    <w:uiPriority w:val="0"/>
    <w:tblPr>
      <w:tblStyle w:val="7"/>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_Style 10"/>
    <w:unhideWhenUsed/>
    <w:qFormat/>
    <w:uiPriority w:val="99"/>
    <w:rPr>
      <w:kern w:val="2"/>
      <w:sz w:val="21"/>
      <w:szCs w:val="24"/>
      <w:lang w:val="en-US" w:eastAsia="zh-CN" w:bidi="ar-SA"/>
    </w:rPr>
  </w:style>
  <w:style w:type="paragraph" w:customStyle="1" w:styleId="16">
    <w:name w:val="p1"/>
    <w:basedOn w:val="1"/>
    <w:qFormat/>
    <w:uiPriority w:val="0"/>
    <w:pPr>
      <w:spacing w:line="380" w:lineRule="atLeast"/>
      <w:jc w:val="left"/>
    </w:pPr>
    <w:rPr>
      <w:rFonts w:ascii="Helvetica Neue" w:hAnsi="Helvetica Neue" w:eastAsia="Helvetica Neue"/>
      <w:color w:val="000000"/>
      <w:kern w:val="0"/>
      <w:sz w:val="26"/>
      <w:szCs w:val="26"/>
    </w:rPr>
  </w:style>
  <w:style w:type="paragraph" w:styleId="17">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4816</Words>
  <Characters>4980</Characters>
  <Lines>32</Lines>
  <Paragraphs>9</Paragraphs>
  <TotalTime>12</TotalTime>
  <ScaleCrop>false</ScaleCrop>
  <LinksUpToDate>false</LinksUpToDate>
  <CharactersWithSpaces>5041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2025-11-03T03:24:00Z</dcterms:created>
  <dc:creator>xhs</dc:creator>
  <cp:lastModifiedBy>高凌</cp:lastModifiedBy>
  <cp:lastPrinted>2023-11-22T09:40:00Z</cp:lastPrinted>
  <dcterms:modified xsi:type="dcterms:W3CDTF">2026-04-16T02:49:27Z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0C7F0B76EDFB4B858C5D8746FC431B5C_13</vt:lpwstr>
  </property>
  <property fmtid="{D5CDD505-2E9C-101B-9397-08002B2CF9AE}" pid="4" name="KSOTemplateDocerSaveRecord">
    <vt:lpwstr>eyJoZGlkIjoiODY5YmQ3ZGNiMWEwY2I0MTFjNzIzYzQ3YTQ2MmNjNTYiLCJ1c2VySWQiOiIzMzczMzc2MzkifQ==</vt:lpwstr>
  </property>
</Properties>
</file>