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版本号：ZY2026-ZB-CS104220260414001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慈善活动宣传与扶持引导活动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ZY2026-ZB-CS1042</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慈善活动宣传与扶持引导活动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慈善活动宣传与扶持引导活动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慈善活动宣传与扶持引导活动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3、税收缴纳证明：提供2025年7月至今已缴纳的至少一个月的税收缴纳证明，依法免税的单位应提供相关证明材料；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7、具有履行本合同所必需的设备和专业技术能力：提供具备履行合同所必须的设备和专业技术能力的书面声明；</w:t>
      </w:r>
    </w:p>
    <w:p>
      <w:pPr>
        <w:pStyle w:val="null3"/>
      </w:pPr>
      <w:r>
        <w:rPr>
          <w:rFonts w:ascii="仿宋_GB2312" w:hAnsi="仿宋_GB2312" w:cs="仿宋_GB2312" w:eastAsia="仿宋_GB2312"/>
        </w:rPr>
        <w:t>8、授权委托书：法定代表人授权委托书、被授权人身份证（法定代表人参加磋商时,只需提供法定代表人身份证），被授权人参加磋商时，须提供磋商前三个月内任意一个月的社保缴纳证明；</w:t>
      </w:r>
    </w:p>
    <w:p>
      <w:pPr>
        <w:pStyle w:val="null3"/>
      </w:pPr>
      <w:r>
        <w:rPr>
          <w:rFonts w:ascii="仿宋_GB2312" w:hAnsi="仿宋_GB2312" w:cs="仿宋_GB2312" w:eastAsia="仿宋_GB2312"/>
        </w:rPr>
        <w:t>9、供应商企业关联关系声明函：单位负责人为同一人或者存在控股、管理关系的不同单位，不得同时参加本磋商项目响应的声明函。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西安市凤城八路109号市政府大院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029-67096726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 招标代理服务费缴纳账户： 开户名称：陕西正翼项目管理咨询有限公司西安分公司 开户银行：中国光大银行股份有限公司西安经济技术开发区支行 账号：78680188000360910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联系人：冯丹、卫现</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慈善活动宣传与扶持引导活动，1项，采购预算：1,790,000.00元。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1,790,000.00</w:t>
      </w:r>
    </w:p>
    <w:p>
      <w:pPr>
        <w:pStyle w:val="null3"/>
      </w:pPr>
      <w:r>
        <w:rPr>
          <w:rFonts w:ascii="仿宋_GB2312" w:hAnsi="仿宋_GB2312" w:cs="仿宋_GB2312" w:eastAsia="仿宋_GB2312"/>
        </w:rPr>
        <w:t>采购包最高限价（元）: 1,790,000.00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慈善活动宣传与扶持引导活动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标的名称：慈善活动宣传与扶持引导活动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通过政府购买服务方式，积极开展慈善工作宣传，引导社会公众关心慈善、支持慈善、参与慈善，为西安市慈善事业营造浓厚氛围；支持引导慈善组织开展以各类社会救助对象为目标群体的扶贫济困、扶老助残、助学助医等慈善活动，不断规范慈善活动开展，推动慈善资源与社会救助工作有效衔接，互为补充，促进西安市慈善工作规范化建设和高质量发展。本项目包括组织开展慈善文化宣传活动和开展慈善项目（开展慈善服务、发展社区慈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二、服务内容</w:t>
            </w:r>
          </w:p>
          <w:p>
            <w:pPr>
              <w:pStyle w:val="null3"/>
              <w:ind w:firstLine="480"/>
            </w:pPr>
            <w:r>
              <w:rPr>
                <w:rFonts w:ascii="仿宋_GB2312" w:hAnsi="仿宋_GB2312" w:cs="仿宋_GB2312" w:eastAsia="仿宋_GB2312"/>
              </w:rPr>
              <w:t>开展慈善文化宣传活动（预算资金40万元）：在全市范围内组织开展慈善文化进企业、进机关、进家庭活动；“中华慈善日”举办大型慈善文化宣传主题活动；通过举办书画展，在全民中开展慈善理念宣传；通过公交、地铁、机场、户外电子屏等形式开展宣传，营造慈善氛围。</w:t>
            </w:r>
          </w:p>
          <w:p>
            <w:pPr>
              <w:pStyle w:val="null3"/>
              <w:ind w:firstLine="480"/>
            </w:pPr>
            <w:r>
              <w:rPr>
                <w:rFonts w:ascii="仿宋_GB2312" w:hAnsi="仿宋_GB2312" w:cs="仿宋_GB2312" w:eastAsia="仿宋_GB2312"/>
              </w:rPr>
              <w:t>开展慈善项目（预算资金139万元）：①开展慈善服务：在重要的节日节点，有针对性的开展探访慰问，如“童心同行”六一关爱、“敬老重阳”长者慰问、“残障微心愿”圆梦等活动；②发展社区慈善：开展幸福“邻”距离社区活动，通过在社区、乡村开展各种公益慈善活动，积极开展针对老年人、儿童、残疾人等特殊群体的关爱服务活动，以及在社区、乡村开展慈善普法宣传、慈善文化宣传、心理疏导、矛盾化解等方面的活动不少于50场次，加强邻里沟通，共建和谐互助环境，助力基层治理。</w:t>
            </w:r>
          </w:p>
          <w:p>
            <w:pPr>
              <w:pStyle w:val="null3"/>
            </w:pPr>
            <w:r>
              <w:rPr>
                <w:rFonts w:ascii="仿宋_GB2312" w:hAnsi="仿宋_GB2312" w:cs="仿宋_GB2312" w:eastAsia="仿宋_GB2312"/>
                <w:b/>
              </w:rPr>
              <w:t xml:space="preserve">   开展慈善文化宣传活动，供应商报价不允许超过40万元；开展慈善项目，供应商报价不允许超过139万元。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三、技术要求</w:t>
            </w:r>
          </w:p>
          <w:p>
            <w:pPr>
              <w:pStyle w:val="null3"/>
            </w:pPr>
            <w:r>
              <w:rPr>
                <w:rFonts w:ascii="仿宋_GB2312" w:hAnsi="仿宋_GB2312" w:cs="仿宋_GB2312" w:eastAsia="仿宋_GB2312"/>
              </w:rPr>
              <w:t>　　开展慈善文化宣传活动：①中华慈善日、三秦慈善周、西安慈善月等节点，设计印制慈善宣传手册、宣传彩页和展板。宣传手册1万份；宣传彩页 A4 纸1万张；海报 57*84厘米1000张；展板+海报架 90*120厘米（户外展板+铝合金单面海报架）不少于20组；慈善活动宣传、组织开展情况形成宣传资料专辑，需用A4纸，铜版纸双面印刷。②组织实施西安市“中华慈善日”现场活动，策划、搭建、布置主题宣传活动会场（含灯光、话筒音响、室外 LED 大屏、活动背景图等。具体规格现场设计）、设置桌子、椅子和桌签若干（桌椅及桌签可根据实际参加人数需求设置）；设计制作慈善品牌项目和慈善信托宣传墙；大力营造活动现场氛围。③通过报纸、户外电子屏、地铁、机场、公交等渠道在重要节点、配合全市大型活动（清凉送爽、银龄行动、慈善日活动等）进行宣传。④组织开展全市慈善书画展，约100人参加，购买纸、笔、颜料、扇面等书画物料。</w:t>
            </w:r>
          </w:p>
          <w:p>
            <w:pPr>
              <w:pStyle w:val="null3"/>
              <w:ind w:firstLine="400"/>
            </w:pPr>
            <w:r>
              <w:rPr>
                <w:rFonts w:ascii="仿宋_GB2312" w:hAnsi="仿宋_GB2312" w:cs="仿宋_GB2312" w:eastAsia="仿宋_GB2312"/>
              </w:rPr>
              <w:t>开展慈善项目：需要有专业知识的项目，必须聘请专业人才指导。</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（一）开展慈善文化宣传活动（预算资金40万元）：</w:t>
            </w:r>
          </w:p>
          <w:p>
            <w:pPr>
              <w:pStyle w:val="null3"/>
              <w:ind w:firstLine="480"/>
            </w:pPr>
            <w:r>
              <w:rPr>
                <w:rFonts w:ascii="仿宋_GB2312" w:hAnsi="仿宋_GB2312" w:cs="仿宋_GB2312" w:eastAsia="仿宋_GB2312"/>
              </w:rPr>
              <w:t>①组织实施西安市“中华慈善日”现场活动，具体以正式通知为主。布置主题宣传活动会场（含灯光、话筒音响、室外LED大屏、活动背景图等。具体规格现场驻地设计）；现场设置桌椅、桌签需按照采购方需求设置；设计制作慈善品牌项目宣传墙；提供形象气质佳、口才表达好的男女主持人各1名（主持活动服装自备）；配备引导员，着装自备且统一；设置慈善组织和市福彩等单位（组织）宣传及募捐（购买）公益活动项目展区平台；全程录制主题宣传启动仪式；大力营造活动现场氛围，要求祥和喜庆、庄重大方；应有不良天候的活动应急处置预案，确保主题宣传活动能够按期正常组织实施。②在重要节点、配合全市大型活动（清凉送爽、银龄行动、慈善日活动等）进行宣传。要求：包括但不限于在地铁和地铁站内灯箱、墙贴、包柱等张贴平面广告，公交车内广告、灯箱广告，户外电子屏播放视频以及通过报纸等新闻媒介的形式进行广泛宣传报道。③组织开展全市慈善书画展。需采购宣纸、毛笔、墨汁、国画颜料、扇面、毛毡、镇纸、笔洗等书画相关物料，满足约100名参会人员现场创作使用，所需物料须质量合格、品类齐全、数量充足，配备适量应急备用物料，按照指定时间、地点配送至活动现场，做好应急处置预案。④整理汇编主题宣传活动相关资料专辑。对市本级、区县（开发区）、各慈善组织“中华慈善日”“三秦慈善周”“西安慈善月”活动组织开展情况进行整理、归集，形成文字、图册、宣传报道等慈善事业工作宣传资料专辑，文字图册不少于50本。</w:t>
            </w:r>
          </w:p>
          <w:p>
            <w:pPr>
              <w:pStyle w:val="null3"/>
            </w:pPr>
            <w:r>
              <w:rPr>
                <w:rFonts w:ascii="仿宋_GB2312" w:hAnsi="仿宋_GB2312" w:cs="仿宋_GB2312" w:eastAsia="仿宋_GB2312"/>
              </w:rPr>
              <w:t>（二）开展慈善项目（预算资金139万元）：</w:t>
            </w:r>
          </w:p>
          <w:p>
            <w:pPr>
              <w:pStyle w:val="null3"/>
              <w:ind w:firstLine="480"/>
            </w:pPr>
            <w:r>
              <w:rPr>
                <w:rFonts w:ascii="仿宋_GB2312" w:hAnsi="仿宋_GB2312" w:cs="仿宋_GB2312" w:eastAsia="仿宋_GB2312"/>
              </w:rPr>
              <w:t>供应商应建立有慈善项目管理制度，对慈善活动实施项目化运作管理。供应商开展帮扶各类社会救助对象的慈善活动和志愿服务活动，应当合理设计慈善项目，优化实施流程，降低运行成本，提高资金使用效益，并按照项目管理制度对项目实施情况进行跟踪监督，依法及时公开项目信息。</w:t>
            </w:r>
          </w:p>
          <w:p>
            <w:pPr>
              <w:pStyle w:val="null3"/>
              <w:ind w:firstLine="480"/>
            </w:pPr>
            <w:r>
              <w:rPr>
                <w:rFonts w:ascii="仿宋_GB2312" w:hAnsi="仿宋_GB2312" w:cs="仿宋_GB2312" w:eastAsia="仿宋_GB2312"/>
              </w:rPr>
              <w:t>1.开展慈善服务：①“童心同行”六一关爱、“敬老重阳”长者慰问、“残障微心愿”圆梦活动按照为每名探访慰问对象提供价值不少于300元的爱心礼包，直接给受益人，人数不少于3000人（每项活动人数各不少于1000人）。②应按照物资采购管理办法进行询价、比价，采购物资物料需符合市场质量要求，食品类应当在保质期到期前6个月。</w:t>
            </w:r>
          </w:p>
          <w:p>
            <w:pPr>
              <w:pStyle w:val="null3"/>
              <w:ind w:firstLine="480"/>
            </w:pPr>
            <w:r>
              <w:rPr>
                <w:rFonts w:ascii="仿宋_GB2312" w:hAnsi="仿宋_GB2312" w:cs="仿宋_GB2312" w:eastAsia="仿宋_GB2312"/>
              </w:rPr>
              <w:t>2.发展社区慈善：慈善文化进社区活动不少于50场，助力基层治理。①应强化前期策划与审核，所有活动须明确主题、内容、流程、人员、安全预案及宣传方案，确保活动紧扣慈善文化宣传、政策普及、志愿服务培育、公益实践等核心内容，严禁如销售推广产品、传播涉政敏感言论与不健康内容。②严格过程监管，实行实名签到、现场留痕管理，采购方及社区可随机抽查、现场督导，核查参与人员真实性、活动流程规范性，杜绝虚报场次、顶替签到、资料造假等行为。③规范服务标准，单场活动时长、参与人数、内容模块须符合约定要求，活动形式多样、互动性强，切实提升居民慈善意识与参与度。④完善资料归档，每场活动及时形成完整台账，包括方案、签到、照片视频、群众反馈、宣传报道、总结等，做到一场一档、可查可验。⑤建立绩效与反馈机制，定期开展满意度调查，对质量不达标、群众评价低的场次不予认定，项目实施要全程接受监督检查与绩效评价，确保项目落地见效、群众认可。</w:t>
            </w:r>
          </w:p>
          <w:p>
            <w:pPr>
              <w:pStyle w:val="null3"/>
              <w:ind w:firstLine="480"/>
            </w:pPr>
            <w:r>
              <w:rPr>
                <w:rFonts w:ascii="仿宋_GB2312" w:hAnsi="仿宋_GB2312" w:cs="仿宋_GB2312" w:eastAsia="仿宋_GB2312"/>
              </w:rPr>
              <w:t>志愿者服务与补贴，用于支持探访慰问救助对象、开展慈善文化进社区活动时，产生的志愿者补贴，如误餐补贴、交通补贴、保险以及活动开展所需的统一标识物料等，要求开展探访慰问活动时，走访慰问对象不少于3000人次，工作人员不应少于2人；因开展慈善服务活动和发展社区慈善活动产生的策划、会议、督导、运输、仓储、宣传报道、执行项目所需的物料、审计验收等其他保障费用，在项目中列支，总额不得超过4万元。</w:t>
            </w:r>
          </w:p>
          <w:p>
            <w:pPr>
              <w:pStyle w:val="null3"/>
            </w:pPr>
            <w:r>
              <w:rPr>
                <w:rFonts w:ascii="仿宋_GB2312" w:hAnsi="仿宋_GB2312" w:cs="仿宋_GB2312" w:eastAsia="仿宋_GB2312"/>
              </w:rPr>
              <w:t>所有项目禁止转包或委托第三方执行。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五</w:t>
            </w:r>
            <w:r>
              <w:rPr>
                <w:rFonts w:ascii="仿宋_GB2312" w:hAnsi="仿宋_GB2312" w:cs="仿宋_GB2312" w:eastAsia="仿宋_GB2312"/>
                <w:b/>
              </w:rPr>
              <w:t>、其他</w:t>
            </w:r>
          </w:p>
          <w:p>
            <w:pPr>
              <w:pStyle w:val="null3"/>
            </w:pPr>
            <w:r>
              <w:rPr>
                <w:rFonts w:ascii="仿宋_GB2312" w:hAnsi="仿宋_GB2312" w:cs="仿宋_GB2312" w:eastAsia="仿宋_GB2312"/>
              </w:rPr>
              <w:t>（一）进度要求</w:t>
            </w:r>
          </w:p>
          <w:p>
            <w:pPr>
              <w:pStyle w:val="null3"/>
              <w:ind w:firstLine="480"/>
            </w:pPr>
            <w:r>
              <w:rPr>
                <w:rFonts w:ascii="仿宋_GB2312" w:hAnsi="仿宋_GB2312" w:cs="仿宋_GB2312" w:eastAsia="仿宋_GB2312"/>
              </w:rPr>
              <w:t>6月份完成所有项目的62.25%，9月份完成所有项目的95%，11月20日前完成全部项目执行验收。</w:t>
            </w:r>
          </w:p>
          <w:p>
            <w:pPr>
              <w:pStyle w:val="null3"/>
            </w:pPr>
            <w:r>
              <w:rPr>
                <w:rFonts w:ascii="仿宋_GB2312" w:hAnsi="仿宋_GB2312" w:cs="仿宋_GB2312" w:eastAsia="仿宋_GB2312"/>
              </w:rPr>
              <w:t>（二）成果交付要求</w:t>
            </w:r>
          </w:p>
          <w:p>
            <w:pPr>
              <w:pStyle w:val="null3"/>
              <w:ind w:firstLine="480"/>
            </w:pPr>
            <w:r>
              <w:rPr>
                <w:rFonts w:ascii="仿宋_GB2312" w:hAnsi="仿宋_GB2312" w:cs="仿宋_GB2312" w:eastAsia="仿宋_GB2312"/>
              </w:rPr>
              <w:t>总体项目结束后，向采购方提交包括但不限于自评报告、履约验收单、第三方出具的审计报告等资料，并配合采购方开展验收及绩效评估。</w:t>
            </w:r>
          </w:p>
          <w:p>
            <w:pPr>
              <w:pStyle w:val="null3"/>
            </w:pPr>
            <w:r>
              <w:rPr>
                <w:rFonts w:ascii="仿宋_GB2312" w:hAnsi="仿宋_GB2312" w:cs="仿宋_GB2312" w:eastAsia="仿宋_GB2312"/>
              </w:rPr>
              <w:t>（三）质量验收标准或规范</w:t>
            </w:r>
          </w:p>
          <w:p>
            <w:pPr>
              <w:pStyle w:val="null3"/>
            </w:pPr>
            <w:r>
              <w:rPr>
                <w:rFonts w:ascii="仿宋_GB2312" w:hAnsi="仿宋_GB2312" w:cs="仿宋_GB2312" w:eastAsia="仿宋_GB2312"/>
              </w:rPr>
              <w:t xml:space="preserve">   服务内容和活动实施规范，资料齐全，管理严格，具有社会影响，在合同服务期内完成约定的全部项目内容，取得预期成效，支出真实可靠，未发现违法违规或违反合同条款内容。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服务内容和活动实施规范，资料齐全，管理严格，具有社会影响，在合同服务期内完成约定的全部项目内容，取得预期成效，支出真实可靠，未发现违法违规或违反合同条款内容。 成交供应商提交项目所有的成果报告后，由采购人和成交供应商共同对项目进行整体验收。其内容包括是否按照采购人要求进行服务、是否在规定时间内服务完毕。 其他事项：1、验收合格后，填写政府采购项目验收单作为对本服务的最终认可。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项目中期检查符合要求后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依法免税或不需要缴纳社会保障资金的供应商，应提供相应证明文件，证明其依法免税或不需要缴纳社会保障资金；自然人（仅限中国公民）参与磋商时，只须提供身份证复印件；3.4.2本项目服务期限为运维周期；3.4.3（响应文件格式-标的清单）本项目服务范围：慈善活动宣传与扶持引导活动；服务要求：符合磋商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法定代表人授权委托书、被授权人身份证（法定代表人参加磋商时,只需提供法定代表人身份证），被授权人参加磋商时，须提供磋商前三个月内任意一个月的社保缴纳证明；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供应商企业关联关系声明函</w:t>
            </w:r>
          </w:p>
        </w:tc>
        <w:tc>
          <w:tcPr>
            <w:tcW w:type="dxa" w:w="3322"/>
          </w:tcPr>
          <w:p>
            <w:pPr>
              <w:pStyle w:val="null3"/>
            </w:pPr>
            <w:r>
              <w:rPr>
                <w:rFonts w:ascii="仿宋_GB2312" w:hAnsi="仿宋_GB2312" w:cs="仿宋_GB2312" w:eastAsia="仿宋_GB2312"/>
              </w:rPr>
              <w:t>单位负责人为同一人或者存在控股、管理关系的不同单位，不得同时参加本磋商项目响应的声明函。</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4.评标委员会基于专业判断，认为供应商报价过低，有可能影响产品质量或者不能诚信履约的其他情形。 有以上情形的，供应商在接到通知时间起30分钟内提交书面说明（未在规定时间内提交书面说明的按低于成本价，按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30分钟内通过项目电子化交易系统进行提交，否则提交的相关证明材料无效。供应商不能证明其响应报价合理性的，评标委员会将其磋商响应文件作为无效处理。</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针对本项目的理解</w:t>
            </w:r>
          </w:p>
        </w:tc>
        <w:tc>
          <w:tcPr>
            <w:tcW w:type="dxa" w:w="2492"/>
          </w:tcPr>
          <w:p>
            <w:pPr>
              <w:pStyle w:val="null3"/>
            </w:pPr>
            <w:r>
              <w:rPr>
                <w:rFonts w:ascii="仿宋_GB2312" w:hAnsi="仿宋_GB2312" w:cs="仿宋_GB2312" w:eastAsia="仿宋_GB2312"/>
              </w:rPr>
              <w:t>区间分值0-6分 评审标准细化内容： 包含但不限于①项目背景；②项目需求；③工作目标。 评审标准量化内容： （1）各部分内容全面详细、阐述条理清晰详尽、符合本项目采购需求得6分；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区间分值0-25分 评审标准细化内容： 包含但不限于①宣传手册、宣传彩页和展板设计印制方案；②搭建、布置主题活动方案③现场活动组织方案④重要节点、配合全市大型活动宣传方案⑤慈善书画展组织方案。 评审标准量化内容： （1）各部分内容全面详细、阐述条理清晰详尽、符合本项目采购需求得25分； （2）评审标准细化内容每缺少一项扣5分；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区间分值0-6分 评审标准细化内容： 包含但不限于①进度计划安排；②进度计划保证措施。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区间分值0-6分 评审标准细化内容： 包含但不限于①相关物品投入计划安排；②备品备件计划保证措施。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服务承诺及服务保障措施</w:t>
            </w:r>
          </w:p>
        </w:tc>
        <w:tc>
          <w:tcPr>
            <w:tcW w:type="dxa" w:w="2492"/>
          </w:tcPr>
          <w:p>
            <w:pPr>
              <w:pStyle w:val="null3"/>
            </w:pPr>
            <w:r>
              <w:rPr>
                <w:rFonts w:ascii="仿宋_GB2312" w:hAnsi="仿宋_GB2312" w:cs="仿宋_GB2312" w:eastAsia="仿宋_GB2312"/>
              </w:rPr>
              <w:t>区间分值0-6分 评审标准细化内容： 包含但不限于①针对本项目的服务承诺；②服务质量管理体系；③服务质量保障措施。 评审标准量化内容： （1）各部分内容全面详细、阐述条理清晰详尽、符合本项目采购需求得6分；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突发事件及安全保障方案</w:t>
            </w:r>
          </w:p>
        </w:tc>
        <w:tc>
          <w:tcPr>
            <w:tcW w:type="dxa" w:w="2492"/>
          </w:tcPr>
          <w:p>
            <w:pPr>
              <w:pStyle w:val="null3"/>
            </w:pPr>
            <w:r>
              <w:rPr>
                <w:rFonts w:ascii="仿宋_GB2312" w:hAnsi="仿宋_GB2312" w:cs="仿宋_GB2312" w:eastAsia="仿宋_GB2312"/>
              </w:rPr>
              <w:t>区间分值0-12分 评审标准细化内容： 包含但不限于①应急预案；②应急保障措施；③安全预案；④安全保障措施。 评审标准量化内容： （1）各部分内容全面详细、阐述条理清晰详尽、符合本项目采购需求得12分；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区间分值0-9分 评审标准细化内容： 包含但不限于 ①项目组织构架；②岗位分工及责任制度；③人员管理制度。 评审标准量化内容： （1）各部分内容全面详细、阐述条理清晰详尽、符合本项目采购需求得9分；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供应商提供2023年3月至今类似项目业绩，每提供一份得5分，满分15分（以加盖公章的完整合同协议书复印件/扫描件为准）。如未提供不得分。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采用低价优先法计算，即满足磋商文件要求且经价格扣除后最低的价格为磋商基准价，其价格分为满分。 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