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版本号：SCZD2026-JT-0824-00120260413002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日常医疗用品采购项目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SCZD2026-JT-0824-001</w:t>
      </w:r>
      <w:r>
        <w:br/>
      </w:r>
      <w:r>
        <w:br/>
      </w:r>
      <w:r>
        <w:br/>
      </w:r>
    </w:p>
    <w:p>
      <w:pPr>
        <w:pStyle w:val="null3"/>
        <w:jc w:val="center"/>
        <w:outlineLvl w:val="2"/>
      </w:pPr>
      <w:r>
        <w:rPr>
          <w:rFonts w:ascii="仿宋_GB2312" w:hAnsi="仿宋_GB2312" w:cs="仿宋_GB2312" w:eastAsia="仿宋_GB2312"/>
          <w:sz w:val="28"/>
          <w:b/>
        </w:rPr>
        <w:t>西安市儿童福利院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西安市儿童福利院</w:t>
      </w:r>
      <w:r>
        <w:rPr>
          <w:rFonts w:ascii="仿宋_GB2312" w:hAnsi="仿宋_GB2312" w:cs="仿宋_GB2312" w:eastAsia="仿宋_GB2312"/>
        </w:rPr>
        <w:t>委托，拟对</w:t>
      </w:r>
      <w:r>
        <w:rPr>
          <w:rFonts w:ascii="仿宋_GB2312" w:hAnsi="仿宋_GB2312" w:cs="仿宋_GB2312" w:eastAsia="仿宋_GB2312"/>
        </w:rPr>
        <w:t>日常医疗用品采购项目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SCZD2026-JT-0824-001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日常医疗用品采购项目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购买用于儿童的日常使用的医疗用品、器械及 医疗辅材等...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供应商在递交响应文件截止时间前被“信用中国”网站（www.creditchina.gov.cn）和中国政府采购网（www.ccgp.gov.cn）上被列入失信被执行人、重大税收违法失信主体、政府采购严重违法失信行为记录名单的，不得参加谈判；</w:t>
      </w:r>
    </w:p>
    <w:p>
      <w:pPr>
        <w:pStyle w:val="null3"/>
      </w:pPr>
      <w:r>
        <w:rPr>
          <w:rFonts w:ascii="仿宋_GB2312" w:hAnsi="仿宋_GB2312" w:cs="仿宋_GB2312" w:eastAsia="仿宋_GB2312"/>
        </w:rPr>
        <w:t>2、法定代表人参加的，须提供本人身份证复印件加盖公章；法定代表人授权他人参加的，须提供法定代表人委托授权书原件加盖公章，并提供被授权代表的身份证复印件加盖公章，并提供授权代表本单位证明（养老保险缴纳证明）；：[1]法定代表人或单位负责人参加谈判的，应提供法定代表人或单位负责人身份证明（提供本人身份证复印件加盖公章）； [2]授权代表参加谈判的，应提供法定代表人或单位负责人身份证明（提供身份证复印件加盖公章）、授权委托书及授权代表在本单位缴纳养老保险证明（加盖公章）。</w:t>
      </w:r>
    </w:p>
    <w:p>
      <w:pPr>
        <w:pStyle w:val="null3"/>
      </w:pPr>
      <w:r>
        <w:rPr>
          <w:rFonts w:ascii="仿宋_GB2312" w:hAnsi="仿宋_GB2312" w:cs="仿宋_GB2312" w:eastAsia="仿宋_GB2312"/>
        </w:rPr>
        <w:t>3、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pPr>
      <w:r>
        <w:rPr>
          <w:rFonts w:ascii="仿宋_GB2312" w:hAnsi="仿宋_GB2312" w:cs="仿宋_GB2312" w:eastAsia="仿宋_GB2312"/>
        </w:rPr>
        <w:t>4、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5、已向采购代理机构获取采购文件：需向采购代理机构获取采购文件，未向采购代理机构获取采购文件的供应商均无资格参加谈判。</w:t>
      </w:r>
    </w:p>
    <w:p>
      <w:pPr>
        <w:pStyle w:val="null3"/>
      </w:pPr>
      <w:r>
        <w:rPr>
          <w:rFonts w:ascii="仿宋_GB2312" w:hAnsi="仿宋_GB2312" w:cs="仿宋_GB2312" w:eastAsia="仿宋_GB2312"/>
        </w:rPr>
        <w:t>6、法律、行政法规规定的其他条件：不存在违反法律法规的情况</w:t>
      </w:r>
    </w:p>
    <w:p>
      <w:pPr>
        <w:pStyle w:val="null3"/>
      </w:pPr>
      <w:r>
        <w:rPr>
          <w:rFonts w:ascii="仿宋_GB2312" w:hAnsi="仿宋_GB2312" w:cs="仿宋_GB2312" w:eastAsia="仿宋_GB2312"/>
        </w:rPr>
        <w:t>7、供应商经营资格要求：[1]供应商为代理商： ①谈判产品属于第二类医疗器械管理的供应商需提供第二类医疗器械经营备案凭证（谈判产品须在其经营范围内），谈判产品属于第三类医疗器械管理的供应商需提供医疗器械经营许可证（谈判产品须在其经营范围内）；②谈判产品列入消毒产品管理的，提供消毒产品生产厂家《营业执照》，《消毒产品生产企业卫生许可证》；③谈判产品属于危险化学品的，需提供生产企业的《危险化学品经营许可证》；[2]供应商为生产企业： ①谈判产品属于第二类医疗器械管理的供应商需提供第二类医疗器械经营备案凭证（谈判产品须在其经营范围内），谈判产品属于第三类医疗器械管理的供应商需提供医疗器械经营许可证（谈判产品须在其经营范围内），还须同时提供具有医疗器械生产许可证（谈判产品须在其生产范围内） ②谈判产品列入消毒产品管理的，提供消毒产品生产厂家《营业执照》，《消毒产品生产企业卫生许可证》； ③谈判产品属于危险化学品的，需提供生产企业的《危险化学品生产许可证》。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西安市儿童福利院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西安市未央区新广路98号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029-86615205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梁静怡、雷鹏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代理服务费收费标准：委托人与受托人约定：按5000元收取。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西安市儿童福利院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西安市儿童福利院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西安市儿童福利院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陕西省采购招标有限责任公司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详见谈判文件、响应文件、合同条款</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本项目采购日常医疗用品采购项目一批。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医疗用品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标的名称：医疗用品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sz w:val="21"/>
                <w:b/>
              </w:rPr>
              <w:t>物品种类（物品采购清单）</w:t>
            </w:r>
          </w:p>
          <w:tbl>
            <w:tblPr>
              <w:tblBorders>
                <w:top w:val="single"/>
                <w:left w:val="single"/>
                <w:bottom w:val="single"/>
                <w:right w:val="single"/>
                <w:insideH w:val="single"/>
                <w:insideV w:val="single"/>
              </w:tblBorders>
            </w:tblPr>
            <w:tblGrid>
              <w:gridCol w:w="147"/>
              <w:gridCol w:w="1139"/>
              <w:gridCol w:w="1001"/>
              <w:gridCol w:w="351"/>
              <w:gridCol w:w="550"/>
            </w:tblGrid>
            <w:tr>
              <w:tc>
                <w:tcPr>
                  <w:tcW w:type="dxa" w:w="3188"/>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西安市儿童福利院2026年耗材清单</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商品名称</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规格 </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单位</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最高限价（元）</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医用外科口罩（I型）</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耳挂式</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0.45</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医用外科口罩（I型）</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耳挂式  单只装</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0.65</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医用外科口罩（儿童）非灭菌</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耳挂式  50支/盒 独立包装</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脱脂棉球</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0.5g/粒</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袋</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0.85</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一次性使用无菌换药包</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一次性使用无菌缝合包</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缝合型</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速干手消毒液</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500ml/瓶</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瓶</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抗菌洗手液</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500ml/瓶</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瓶</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一次性使用气流雾化器面罩</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儿童面罩</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一次性使用胃管（流食管）</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10号</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一次性使用胃管（流食管）</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12号</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医用护理垫 （核心产品）</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60cm*90cm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袋</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直肠管</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100支/包</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压敏胶带</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0.9*</w:t>
                  </w:r>
                  <w:r>
                    <w:rPr>
                      <w:rFonts w:ascii="仿宋_GB2312" w:hAnsi="仿宋_GB2312" w:cs="仿宋_GB2312" w:eastAsia="仿宋_GB2312"/>
                      <w:sz w:val="19"/>
                      <w:color w:val="000000"/>
                    </w:rPr>
                    <w:t xml:space="preserve">500cm </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血糖试纸（葡萄糖氧化酶法）</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50片/盒 与710配套使用</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医用纱布块</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7.5cm*7.5cm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医用纱布块</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5cm*5cm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采血笔</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采血针</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1000支/包</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压舌板</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木质 150mm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医用酒精消毒棉片</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12*12cm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无菌棉签（医用棉签）</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10cm /50支/袋</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袋</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1.68</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无菌棉签（医用棉签）</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20cm*10支/袋</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袋</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弹力绷带帽</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6号</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弹力绷带帽</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7号</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弹力绷带帽</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8号</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医用无纺布帽</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15*22cm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顶</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0.80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一次性使用鞋套</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36cm*15cm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0.50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皮肤消毒剂</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60ml</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瓶</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紫外线强度指示卡</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100片/盒</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一次性使用鼻氧管</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2.5米</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2.88</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过氧乙酸</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5kg*3桶</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75%酒精消毒液</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100ml/瓶</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瓶</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一次性使用无菌注射器  带针</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20ml/100支/盒</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一次性使用无菌注射器</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1ml</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0.98</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一次性使用无菌注射器</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2ml</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一次性使用无菌注射器</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5ml</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1.38</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一次性使用无菌注射器</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50ml</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流食助推器</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100ml</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检查手套（PE）</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中号(M)普通级</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袋</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41</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粘胶型石膏绷带</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15cm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42</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一次性使用胃管包</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43</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一次性使用灭菌橡胶外科手套</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6.5号</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44</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一次性使用胃管包</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2.67mm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一次性使用胃管包</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3.33mm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46</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弹性绷带</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10cm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一次性使用医用口罩(非外科用)</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14.5cm*9cm（儿童）</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48</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自封袋（药袋）</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5*7cm  200只/件</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49</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包药纸</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10cm*10cm  5000/张  50克 </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分药器</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切药：1/2、1/3、1/4均可使用</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51</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碘伏消毒液</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100ml</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瓶</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3.75</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52</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儿童防撞帽</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儿童款</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顶</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53</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帽子</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儿童款</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54</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紫外线消毒车</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血糖仪</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149.00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56</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医用助行器</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铝合金</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57</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研钵</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58</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利器盒</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4L</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59</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约束带</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酒精棉片</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3cmx6cm100片/盒</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61</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泡腾消毒片II型</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1.25g*100片</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瓶</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62</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电动吸引器</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63</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一次性使用吸痰管</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4.67mm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64</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约束固定手套</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小号(1-3岁）</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65</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约束固定手套</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中号(4-6岁）</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66</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约束固定手套</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大号(7-12岁)</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67</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一次性使用无菌医用垫单</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90cm*200cm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片</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5.98</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68</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臂式电子血压计</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台式</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69</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听诊器</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单听</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身高体重秤</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机械</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288.00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71</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消毒剂浓度试纸</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7.0cmx5.6cm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188.00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72</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医用无菌擦手纸</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 抽/包</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73</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医用几丁糖液体敷料</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30ml</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瓶</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74</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电动压力喷雾洗鼻器</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儿童款</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75</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一次性使用医用检查手套</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7号</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76</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一次性使用心电电极</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配件</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袋</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77</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约束带</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手足约束带</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78</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消毒配比桶</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20L</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88.00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79</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消毒配比桶</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10L</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疤痕宁</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20g/支</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159.00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81</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体表导管固定装置</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100片/盒</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片</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82</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酒精棉片</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6*6cm/盒</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83</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一次性医用垫单</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80cmX220cm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84</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防褥疮床垫</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圆形</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85</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病历夹（ABS）</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国标</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86</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防褥疮垫</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条纹式</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87</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功能性敷料</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5.5x7.5cm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片</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88</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功能性敷料</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9x20cm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片</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89</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功能性敷料</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9x10cm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片</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医用胶带</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26cm*500cm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筒</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91</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氧气瓶推车</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碳钢</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92</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医疗垃圾袋</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60*70cm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93</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氯己定含漱液I</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220ml</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瓶</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94</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一次性使用口腔涂药棒</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100支/瓶</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瓶</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18.60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95</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氧气袋</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96</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识别腕带</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PVC成人粉红</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0.98</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97</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识别腕带</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PVC成人浅蓝</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0.98</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98</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急救包</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背包式</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99</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便携氧气瓶</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4L</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大氧气瓶</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7L</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101</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大氧气瓶</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10L</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601.00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102</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脉搏血氧仪</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103</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一次性使用医用橡胶检查手套</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中号/盒</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副</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5.12</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104</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一次性使用防针刺静脉留置针</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20G</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105</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一次性使用防针刺静脉留置针</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22G</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106</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一次性使用防针刺静脉留置针</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24G</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107</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一次性使用鼻饲管</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长度1400mm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108</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预充式导管冲洗器</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5ml</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109</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一次性使用无菌注射针</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0.7x80</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110</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医用超声耦合剂</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250g</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瓶</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111</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AED电极片</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国标</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片</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112</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医用导电膏</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100g</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113</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一次性针电极</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国标</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114</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医用胶片</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11*14</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片</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115</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隔离透声膜</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100只/盒</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116</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热敏标签纸</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80*50mm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117</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热敏标签纸</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40*17mm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118</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热敏标签纸</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80*17mm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119</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一次性使用喉镜片</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儿童型</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片</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口垫</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国标</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121</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鼻塞导管</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国标</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122</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取型管</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均码</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123</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保鲜膜</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通用</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124</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氨纶纱套</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125</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氨纶纱套</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126</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取型剪刀</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均码</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127</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医用高分子夹板（K板）</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600*900*3.2mm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片</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128</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医用高分子夹板（P板）</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600*900*3.2mm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片</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129</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魔术贴毛面</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130</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魔术贴勾面</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131</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魔术贴毛面</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132</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魔术贴勾面</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133</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筒式粘扣带</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25mm*25m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134</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筒式粘扣带</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30mm*25m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135</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印花纸</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40cm/300m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136</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三角扣+方环</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通用</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137</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子母铆钉</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12mm*12mm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对</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0.98</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138</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海绵内衬</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3.6m*250mm*2mm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398.00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139</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弹性踝关节</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通用</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140</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自由踝关节</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通用</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141</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弹性包边条</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25m*25mm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142</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儿童矫形鞋（低帮）</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定制</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143</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儿童矫形鞋（高帮）</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定制</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144</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3D打印鞋垫</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定制</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580.00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145</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自粘电极片</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40x40mm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146</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自粘电极片（圆形）</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35mm </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147</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B</w:t>
                  </w:r>
                  <w:r>
                    <w:rPr>
                      <w:rFonts w:ascii="仿宋_GB2312" w:hAnsi="仿宋_GB2312" w:cs="仿宋_GB2312" w:eastAsia="仿宋_GB2312"/>
                      <w:sz w:val="20"/>
                      <w:color w:val="000000"/>
                    </w:rPr>
                    <w:t>超擦拭纸</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800g</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148</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儿童认知训练卡片</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主要配置:≥880张5寸卡片</w:t>
                  </w:r>
                  <w:r>
                    <w:br/>
                  </w:r>
                  <w:r>
                    <w:rPr>
                      <w:rFonts w:ascii="仿宋_GB2312" w:hAnsi="仿宋_GB2312" w:cs="仿宋_GB2312" w:eastAsia="仿宋_GB2312"/>
                      <w:sz w:val="19"/>
                      <w:color w:val="000000"/>
                    </w:rPr>
                    <w:t xml:space="preserve"> 涵盖动作模仿、生活常识、逻辑推理、数量与形状认知、颜色配对、季节认知等训练模块，适用于认知能力、语言表达、肢体协调及逻辑思维</w:t>
                  </w:r>
                  <w:r>
                    <w:br/>
                  </w:r>
                  <w:r>
                    <w:rPr>
                      <w:rFonts w:ascii="仿宋_GB2312" w:hAnsi="仿宋_GB2312" w:cs="仿宋_GB2312" w:eastAsia="仿宋_GB2312"/>
                      <w:sz w:val="19"/>
                      <w:color w:val="000000"/>
                    </w:rPr>
                    <w:t xml:space="preserve"> 训练。</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1500.00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149</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蒙氏投球盒</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四合一</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165.00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儿童穿衣板</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规格(cm)：30×25×2±1cm</w:t>
                  </w:r>
                  <w:r>
                    <w:br/>
                  </w:r>
                  <w:r>
                    <w:rPr>
                      <w:rFonts w:ascii="仿宋_GB2312" w:hAnsi="仿宋_GB2312" w:cs="仿宋_GB2312" w:eastAsia="仿宋_GB2312"/>
                      <w:sz w:val="19"/>
                      <w:color w:val="000000"/>
                    </w:rPr>
                    <w:t xml:space="preserve"> 用途：通过模拟日常生活的各种穿衣系扣的训练，提高患者的穿衣能力协调功能</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151</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儿童木插板(倾角可调)</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规格(cm)：60×29×21~30±5cm</w:t>
                  </w:r>
                  <w:r>
                    <w:br/>
                  </w:r>
                  <w:r>
                    <w:rPr>
                      <w:rFonts w:ascii="仿宋_GB2312" w:hAnsi="仿宋_GB2312" w:cs="仿宋_GB2312" w:eastAsia="仿宋_GB2312"/>
                      <w:sz w:val="19"/>
                      <w:color w:val="000000"/>
                    </w:rPr>
                    <w:t xml:space="preserve"> 插棒规格(mm)：配备三种不同直径的圆柱形插棒，所有插棒长度统一且允差合理，数量满足日常康复训练需求，分大、中、小三种规格，每种规格插棒数量充足，可满足不同患</w:t>
                  </w:r>
                  <w:r>
                    <w:br/>
                  </w:r>
                  <w:r>
                    <w:rPr>
                      <w:rFonts w:ascii="仿宋_GB2312" w:hAnsi="仿宋_GB2312" w:cs="仿宋_GB2312" w:eastAsia="仿宋_GB2312"/>
                      <w:sz w:val="19"/>
                      <w:color w:val="000000"/>
                    </w:rPr>
                    <w:t xml:space="preserve"> 者训练适配需求。</w:t>
                  </w:r>
                  <w:r>
                    <w:br/>
                  </w:r>
                  <w:r>
                    <w:rPr>
                      <w:rFonts w:ascii="仿宋_GB2312" w:hAnsi="仿宋_GB2312" w:cs="仿宋_GB2312" w:eastAsia="仿宋_GB2312"/>
                      <w:sz w:val="19"/>
                      <w:color w:val="000000"/>
                    </w:rPr>
                    <w:t xml:space="preserve"> 用途：作业治疗用具，将木棒准确插到位，训练患者眼一手</w:t>
                  </w:r>
                  <w:r>
                    <w:br/>
                  </w:r>
                  <w:r>
                    <w:rPr>
                      <w:rFonts w:ascii="仿宋_GB2312" w:hAnsi="仿宋_GB2312" w:cs="仿宋_GB2312" w:eastAsia="仿宋_GB2312"/>
                      <w:sz w:val="19"/>
                      <w:color w:val="000000"/>
                    </w:rPr>
                    <w:t xml:space="preserve"> 协调功能</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680.00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152</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串彩链</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产品外形尺寸：140mm×125mm×85mm，允差±5%</w:t>
                  </w:r>
                  <w:r>
                    <w:br/>
                  </w:r>
                  <w:r>
                    <w:rPr>
                      <w:rFonts w:ascii="仿宋_GB2312" w:hAnsi="仿宋_GB2312" w:cs="仿宋_GB2312" w:eastAsia="仿宋_GB2312"/>
                      <w:sz w:val="19"/>
                      <w:color w:val="000000"/>
                    </w:rPr>
                    <w:t xml:space="preserve"> 由优质椴木制成的各种形状如椭圆、半圆、圆形和带水果图案的木块≥55个。</w:t>
                  </w:r>
                  <w:r>
                    <w:br/>
                  </w:r>
                  <w:r>
                    <w:rPr>
                      <w:rFonts w:ascii="仿宋_GB2312" w:hAnsi="仿宋_GB2312" w:cs="仿宋_GB2312" w:eastAsia="仿宋_GB2312"/>
                      <w:sz w:val="19"/>
                      <w:color w:val="000000"/>
                    </w:rPr>
                    <w:t xml:space="preserve"> 适用于3岁以上患者对形状、颜色的分类与认知，及锻炼手、眼、脑协调力，观察力与思考力</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168.00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153</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几何拼装图片</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外形尺寸(长×宽×高)：200mm×200mm×20mm，允差±5%</w:t>
                  </w:r>
                  <w:r>
                    <w:br/>
                  </w:r>
                  <w:r>
                    <w:rPr>
                      <w:rFonts w:ascii="仿宋_GB2312" w:hAnsi="仿宋_GB2312" w:cs="仿宋_GB2312" w:eastAsia="仿宋_GB2312"/>
                      <w:sz w:val="19"/>
                      <w:color w:val="000000"/>
                    </w:rPr>
                    <w:t xml:space="preserve"> 材质：木制椴木合板制成的几何图形插板。</w:t>
                  </w:r>
                  <w:r>
                    <w:br/>
                  </w:r>
                  <w:r>
                    <w:rPr>
                      <w:rFonts w:ascii="仿宋_GB2312" w:hAnsi="仿宋_GB2312" w:cs="仿宋_GB2312" w:eastAsia="仿宋_GB2312"/>
                      <w:sz w:val="19"/>
                      <w:color w:val="000000"/>
                    </w:rPr>
                    <w:t xml:space="preserve"> 适用于3岁以上患者对图形的认知，锻炼手、眼、脑协调力把插块插入相对应的凹槽内，提高脑部支配力与动手能力</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380.00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154</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儿童几何体阶梯</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规格（cm）18.5×18.5×7.8，允差±5%</w:t>
                  </w:r>
                  <w:r>
                    <w:br/>
                  </w:r>
                  <w:r>
                    <w:rPr>
                      <w:rFonts w:ascii="仿宋_GB2312" w:hAnsi="仿宋_GB2312" w:cs="仿宋_GB2312" w:eastAsia="仿宋_GB2312"/>
                      <w:sz w:val="19"/>
                      <w:color w:val="000000"/>
                    </w:rPr>
                    <w:t xml:space="preserve"> 用途：适用于患者进行上肢灵活性、协调性训练的辅助用具，提高上肢的日常活动能力。</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480.00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155</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儿童沙袋(绑式)</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规格(mm)：630×380×710，允差±5%</w:t>
                  </w:r>
                  <w:r>
                    <w:br/>
                  </w:r>
                  <w:r>
                    <w:rPr>
                      <w:rFonts w:ascii="仿宋_GB2312" w:hAnsi="仿宋_GB2312" w:cs="仿宋_GB2312" w:eastAsia="仿宋_GB2312"/>
                      <w:sz w:val="19"/>
                      <w:color w:val="000000"/>
                    </w:rPr>
                    <w:t xml:space="preserve"> 材质：静电喷塑支架、橡胶角轮</w:t>
                  </w:r>
                  <w:r>
                    <w:br/>
                  </w:r>
                  <w:r>
                    <w:rPr>
                      <w:rFonts w:ascii="仿宋_GB2312" w:hAnsi="仿宋_GB2312" w:cs="仿宋_GB2312" w:eastAsia="仿宋_GB2312"/>
                      <w:sz w:val="19"/>
                      <w:color w:val="000000"/>
                    </w:rPr>
                    <w:t xml:space="preserve"> 结构型式：绑式沙袋、搁架、脚轮</w:t>
                  </w:r>
                  <w:r>
                    <w:br/>
                  </w:r>
                  <w:r>
                    <w:rPr>
                      <w:rFonts w:ascii="仿宋_GB2312" w:hAnsi="仿宋_GB2312" w:cs="仿宋_GB2312" w:eastAsia="仿宋_GB2312"/>
                      <w:sz w:val="19"/>
                      <w:color w:val="000000"/>
                    </w:rPr>
                    <w:t xml:space="preserve"> 同规格沙袋件数：0.2kg,0.4kg,0.6kg,0.8kg,1.0kg,1.2kg各两件</w:t>
                  </w:r>
                  <w:r>
                    <w:br/>
                  </w:r>
                  <w:r>
                    <w:rPr>
                      <w:rFonts w:ascii="仿宋_GB2312" w:hAnsi="仿宋_GB2312" w:cs="仿宋_GB2312" w:eastAsia="仿宋_GB2312"/>
                      <w:sz w:val="19"/>
                      <w:color w:val="000000"/>
                    </w:rPr>
                    <w:t xml:space="preserve"> 用途：肌力训练关节牵引</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1480.00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156</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儿童哑铃</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架子尺寸(长×宽×高),mm：330×900×300  ，允差±10mm </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450.00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157</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花生球70cm</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规格(cm)：Φ70，允差±5%</w:t>
                  </w:r>
                  <w:r>
                    <w:br/>
                  </w:r>
                  <w:r>
                    <w:rPr>
                      <w:rFonts w:ascii="仿宋_GB2312" w:hAnsi="仿宋_GB2312" w:cs="仿宋_GB2312" w:eastAsia="仿宋_GB2312"/>
                      <w:sz w:val="19"/>
                      <w:color w:val="000000"/>
                    </w:rPr>
                    <w:t xml:space="preserve"> 材质：pvc材质</w:t>
                  </w:r>
                  <w:r>
                    <w:br/>
                  </w:r>
                  <w:r>
                    <w:rPr>
                      <w:rFonts w:ascii="仿宋_GB2312" w:hAnsi="仿宋_GB2312" w:cs="仿宋_GB2312" w:eastAsia="仿宋_GB2312"/>
                      <w:sz w:val="19"/>
                      <w:color w:val="000000"/>
                    </w:rPr>
                    <w:t xml:space="preserve"> 用途：用于脑瘫患儿的平衡感觉、反射调节、缓解肌痉挛</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2150.00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158</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儿童跨栏</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规格：81*27*21CM，允差±5%</w:t>
                  </w:r>
                  <w:r>
                    <w:br/>
                  </w:r>
                  <w:r>
                    <w:rPr>
                      <w:rFonts w:ascii="仿宋_GB2312" w:hAnsi="仿宋_GB2312" w:cs="仿宋_GB2312" w:eastAsia="仿宋_GB2312"/>
                      <w:sz w:val="19"/>
                      <w:color w:val="000000"/>
                    </w:rPr>
                    <w:t xml:space="preserve"> 8件套，孩子进行钻爬或跳跃活动</w:t>
                  </w:r>
                  <w:r>
                    <w:br/>
                  </w:r>
                  <w:r>
                    <w:rPr>
                      <w:rFonts w:ascii="仿宋_GB2312" w:hAnsi="仿宋_GB2312" w:cs="仿宋_GB2312" w:eastAsia="仿宋_GB2312"/>
                      <w:sz w:val="19"/>
                      <w:color w:val="000000"/>
                    </w:rPr>
                    <w:t xml:space="preserve"> 用途：训练儿童前庭平衡，身体协调。</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3500.00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159</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平衡步道</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单片规格(mm)：1470×280×30，允差±5%</w:t>
                  </w:r>
                  <w:r>
                    <w:br/>
                  </w:r>
                  <w:r>
                    <w:rPr>
                      <w:rFonts w:ascii="仿宋_GB2312" w:hAnsi="仿宋_GB2312" w:cs="仿宋_GB2312" w:eastAsia="仿宋_GB2312"/>
                      <w:sz w:val="19"/>
                      <w:color w:val="000000"/>
                    </w:rPr>
                    <w:t xml:space="preserve"> 材质：工程塑料</w:t>
                  </w:r>
                  <w:r>
                    <w:br/>
                  </w:r>
                  <w:r>
                    <w:rPr>
                      <w:rFonts w:ascii="仿宋_GB2312" w:hAnsi="仿宋_GB2312" w:cs="仿宋_GB2312" w:eastAsia="仿宋_GB2312"/>
                      <w:sz w:val="19"/>
                      <w:color w:val="000000"/>
                    </w:rPr>
                    <w:t xml:space="preserve"> 可相互串连，组合变化多，做爬、走、跑、跳动作</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1980.00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160</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万象组件收拾袋</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收拾袋尺寸(cm)：71.5(L)×81(W)×15(H)，允差±5%</w:t>
                  </w:r>
                  <w:r>
                    <w:br/>
                  </w:r>
                  <w:r>
                    <w:rPr>
                      <w:rFonts w:ascii="仿宋_GB2312" w:hAnsi="仿宋_GB2312" w:cs="仿宋_GB2312" w:eastAsia="仿宋_GB2312"/>
                      <w:sz w:val="19"/>
                      <w:color w:val="000000"/>
                    </w:rPr>
                    <w:t xml:space="preserve"> 材质：塑料</w:t>
                  </w:r>
                  <w:r>
                    <w:br/>
                  </w:r>
                  <w:r>
                    <w:rPr>
                      <w:rFonts w:ascii="仿宋_GB2312" w:hAnsi="仿宋_GB2312" w:cs="仿宋_GB2312" w:eastAsia="仿宋_GB2312"/>
                      <w:sz w:val="19"/>
                      <w:color w:val="000000"/>
                    </w:rPr>
                    <w:t xml:space="preserve"> 内容组件：半砖≥12块，全砖≥8块，平衡桥≥4片，35cm体能环≥4个，60cm体能环≥4个，35cm体能棒≥16支，70cm体能棒≥8支，棒夹≥12个，环夹≥12个，彩色手脚印≥各6对，使用指导手册1本。</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4280.00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161</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动物沙包</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规格：8只/套</w:t>
                  </w:r>
                  <w:r>
                    <w:br/>
                  </w:r>
                  <w:r>
                    <w:rPr>
                      <w:rFonts w:ascii="仿宋_GB2312" w:hAnsi="仿宋_GB2312" w:cs="仿宋_GB2312" w:eastAsia="仿宋_GB2312"/>
                      <w:sz w:val="19"/>
                      <w:color w:val="000000"/>
                    </w:rPr>
                    <w:t xml:space="preserve"> 含八种不同的动物。</w:t>
                  </w:r>
                  <w:r>
                    <w:br/>
                  </w:r>
                  <w:r>
                    <w:rPr>
                      <w:rFonts w:ascii="仿宋_GB2312" w:hAnsi="仿宋_GB2312" w:cs="仿宋_GB2312" w:eastAsia="仿宋_GB2312"/>
                      <w:sz w:val="19"/>
                      <w:color w:val="000000"/>
                    </w:rPr>
                    <w:t xml:space="preserve"> 用途：对患儿认知能力的训练 </w:t>
                  </w:r>
                  <w:r>
                    <w:br/>
                  </w:r>
                  <w:r>
                    <w:rPr>
                      <w:rFonts w:ascii="仿宋_GB2312" w:hAnsi="仿宋_GB2312" w:cs="仿宋_GB2312" w:eastAsia="仿宋_GB2312"/>
                      <w:sz w:val="19"/>
                      <w:color w:val="000000"/>
                    </w:rPr>
                    <w:t xml:space="preserve"> 材质:皮革</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1280.00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162</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儿童平衡板</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1、最大外形尺寸（长*宽*高）：700mm*500mm*206mm，±10mm；</w:t>
                  </w:r>
                  <w:r>
                    <w:br/>
                  </w:r>
                  <w:r>
                    <w:rPr>
                      <w:rFonts w:ascii="仿宋_GB2312" w:hAnsi="仿宋_GB2312" w:cs="仿宋_GB2312" w:eastAsia="仿宋_GB2312"/>
                      <w:sz w:val="19"/>
                      <w:color w:val="000000"/>
                    </w:rPr>
                    <w:t xml:space="preserve"> 面板高度100mm，±10mm;</w:t>
                  </w:r>
                  <w:r>
                    <w:br/>
                  </w:r>
                  <w:r>
                    <w:rPr>
                      <w:rFonts w:ascii="仿宋_GB2312" w:hAnsi="仿宋_GB2312" w:cs="仿宋_GB2312" w:eastAsia="仿宋_GB2312"/>
                      <w:sz w:val="19"/>
                      <w:color w:val="000000"/>
                    </w:rPr>
                    <w:t xml:space="preserve"> 扶手宽度400mm，±10mm。</w:t>
                  </w:r>
                  <w:r>
                    <w:br/>
                  </w:r>
                  <w:r>
                    <w:rPr>
                      <w:rFonts w:ascii="仿宋_GB2312" w:hAnsi="仿宋_GB2312" w:cs="仿宋_GB2312" w:eastAsia="仿宋_GB2312"/>
                      <w:sz w:val="19"/>
                      <w:color w:val="000000"/>
                    </w:rPr>
                    <w:t xml:space="preserve"> 2、面板粘贴防滑垫。</w:t>
                  </w:r>
                  <w:r>
                    <w:br/>
                  </w:r>
                  <w:r>
                    <w:rPr>
                      <w:rFonts w:ascii="仿宋_GB2312" w:hAnsi="仿宋_GB2312" w:cs="仿宋_GB2312" w:eastAsia="仿宋_GB2312"/>
                      <w:sz w:val="19"/>
                      <w:color w:val="000000"/>
                    </w:rPr>
                    <w:t xml:space="preserve"> 扶手材质为不锈钢，面板为木制品。</w:t>
                  </w:r>
                  <w:r>
                    <w:br/>
                  </w:r>
                  <w:r>
                    <w:rPr>
                      <w:rFonts w:ascii="仿宋_GB2312" w:hAnsi="仿宋_GB2312" w:cs="仿宋_GB2312" w:eastAsia="仿宋_GB2312"/>
                      <w:sz w:val="19"/>
                      <w:color w:val="000000"/>
                    </w:rPr>
                    <w:t xml:space="preserve"> 产品用途</w:t>
                  </w:r>
                  <w:r>
                    <w:br/>
                  </w:r>
                  <w:r>
                    <w:rPr>
                      <w:rFonts w:ascii="仿宋_GB2312" w:hAnsi="仿宋_GB2312" w:cs="仿宋_GB2312" w:eastAsia="仿宋_GB2312"/>
                      <w:sz w:val="19"/>
                      <w:color w:val="000000"/>
                    </w:rPr>
                    <w:t xml:space="preserve"> 儿童平衡板是帮助儿童患者练习身体平衡能力的康复器材，在使用过程中，可帮助患儿改善全身全身协调平衡能力，能提高核心肌力。</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408.00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163</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儿童套圈</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规格(cm)：42×25×7，±10mm</w:t>
                  </w:r>
                  <w:r>
                    <w:br/>
                  </w:r>
                  <w:r>
                    <w:rPr>
                      <w:rFonts w:ascii="仿宋_GB2312" w:hAnsi="仿宋_GB2312" w:cs="仿宋_GB2312" w:eastAsia="仿宋_GB2312"/>
                      <w:sz w:val="19"/>
                      <w:color w:val="000000"/>
                    </w:rPr>
                    <w:t xml:space="preserve"> 外形尺寸（cm）：50×42×17±5cm</w:t>
                  </w:r>
                  <w:r>
                    <w:br/>
                  </w:r>
                  <w:r>
                    <w:rPr>
                      <w:rFonts w:ascii="仿宋_GB2312" w:hAnsi="仿宋_GB2312" w:cs="仿宋_GB2312" w:eastAsia="仿宋_GB2312"/>
                      <w:sz w:val="19"/>
                      <w:color w:val="000000"/>
                    </w:rPr>
                    <w:t xml:space="preserve"> 用途：训练患者眼—手协调功能</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480.00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164</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儿童独角椅</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外形尺寸：（Φ240mm*225mm）±5%     材质：塑料</w:t>
                  </w:r>
                  <w:r>
                    <w:br/>
                  </w:r>
                  <w:r>
                    <w:rPr>
                      <w:rFonts w:ascii="仿宋_GB2312" w:hAnsi="仿宋_GB2312" w:cs="仿宋_GB2312" w:eastAsia="仿宋_GB2312"/>
                      <w:sz w:val="19"/>
                      <w:color w:val="000000"/>
                    </w:rPr>
                    <w:t xml:space="preserve"> 用途：可以锻炼宝宝的平衡能力．让宝宝坐在平衡椅上抛接球或者其它游戏</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315.00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165</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大陀螺</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规格: 直径82CM±5% </w:t>
                  </w:r>
                  <w:r>
                    <w:br/>
                  </w:r>
                  <w:r>
                    <w:rPr>
                      <w:rFonts w:ascii="仿宋_GB2312" w:hAnsi="仿宋_GB2312" w:cs="仿宋_GB2312" w:eastAsia="仿宋_GB2312"/>
                      <w:sz w:val="19"/>
                      <w:color w:val="000000"/>
                    </w:rPr>
                    <w:t xml:space="preserve"> 材质:无毒无味PE塑料</w:t>
                  </w:r>
                  <w:r>
                    <w:br/>
                  </w:r>
                  <w:r>
                    <w:rPr>
                      <w:rFonts w:ascii="仿宋_GB2312" w:hAnsi="仿宋_GB2312" w:cs="仿宋_GB2312" w:eastAsia="仿宋_GB2312"/>
                      <w:sz w:val="19"/>
                      <w:color w:val="000000"/>
                    </w:rPr>
                    <w:t xml:space="preserve">  可用大陀螺对儿童进行感觉统合失调训练，可以进行前后、左右摇晃和旋转，能强力刺激孩子左右脑发展。</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980.00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166</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跳袋</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产品规格(cm)：Φ50×95±5%</w:t>
                  </w:r>
                  <w:r>
                    <w:br/>
                  </w:r>
                  <w:r>
                    <w:rPr>
                      <w:rFonts w:ascii="仿宋_GB2312" w:hAnsi="仿宋_GB2312" w:cs="仿宋_GB2312" w:eastAsia="仿宋_GB2312"/>
                      <w:sz w:val="19"/>
                      <w:color w:val="000000"/>
                    </w:rPr>
                    <w:t xml:space="preserve"> 材质：布</w:t>
                  </w:r>
                  <w:r>
                    <w:br/>
                  </w:r>
                  <w:r>
                    <w:rPr>
                      <w:rFonts w:ascii="仿宋_GB2312" w:hAnsi="仿宋_GB2312" w:cs="仿宋_GB2312" w:eastAsia="仿宋_GB2312"/>
                      <w:sz w:val="19"/>
                      <w:color w:val="000000"/>
                    </w:rPr>
                    <w:t xml:space="preserve"> 适用于3岁以上患者偏瘫、脑瘫等运动失调患者进行平衡、协调功能训练，促进患者全身肌肉的伸展和活性化</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580.00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167</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儿童蹦跳器(带围网)</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规格(cm)：Φ150cm±5%，高度130cm±5%</w:t>
                  </w:r>
                  <w:r>
                    <w:br/>
                  </w:r>
                  <w:r>
                    <w:rPr>
                      <w:rFonts w:ascii="仿宋_GB2312" w:hAnsi="仿宋_GB2312" w:cs="仿宋_GB2312" w:eastAsia="仿宋_GB2312"/>
                      <w:sz w:val="19"/>
                      <w:color w:val="000000"/>
                    </w:rPr>
                    <w:t xml:space="preserve"> 包装尺寸：78*35*23cm ±5%</w:t>
                  </w:r>
                  <w:r>
                    <w:br/>
                  </w:r>
                  <w:r>
                    <w:rPr>
                      <w:rFonts w:ascii="仿宋_GB2312" w:hAnsi="仿宋_GB2312" w:cs="仿宋_GB2312" w:eastAsia="仿宋_GB2312"/>
                      <w:sz w:val="19"/>
                      <w:color w:val="000000"/>
                    </w:rPr>
                    <w:t xml:space="preserve"> 承重：≥150kg</w:t>
                  </w:r>
                  <w:r>
                    <w:br/>
                  </w:r>
                  <w:r>
                    <w:rPr>
                      <w:rFonts w:ascii="仿宋_GB2312" w:hAnsi="仿宋_GB2312" w:cs="仿宋_GB2312" w:eastAsia="仿宋_GB2312"/>
                      <w:sz w:val="19"/>
                      <w:color w:val="000000"/>
                    </w:rPr>
                    <w:t xml:space="preserve"> 用途：训练下肢肌力及平衡能力</w:t>
                  </w:r>
                  <w:r>
                    <w:br/>
                  </w:r>
                  <w:r>
                    <w:rPr>
                      <w:rFonts w:ascii="仿宋_GB2312" w:hAnsi="仿宋_GB2312" w:cs="仿宋_GB2312" w:eastAsia="仿宋_GB2312"/>
                      <w:sz w:val="19"/>
                      <w:color w:val="000000"/>
                    </w:rPr>
                    <w:t xml:space="preserve"> 特点：采用大蹦床U型脚管结构，配≥30个加强腰鼓弹簧</w:t>
                  </w:r>
                  <w:r>
                    <w:br/>
                  </w:r>
                  <w:r>
                    <w:rPr>
                      <w:rFonts w:ascii="仿宋_GB2312" w:hAnsi="仿宋_GB2312" w:cs="仿宋_GB2312" w:eastAsia="仿宋_GB2312"/>
                      <w:sz w:val="19"/>
                      <w:color w:val="000000"/>
                    </w:rPr>
                    <w:t xml:space="preserve"> 用途：训练下肢肌力及平衡能力</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2250.00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168</w:t>
                  </w:r>
                </w:p>
              </w:tc>
              <w:tc>
                <w:tcPr>
                  <w:tcW w:type="dxa" w:w="11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训练滑梯</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规格(cm)：335×91×56±5%</w:t>
                  </w:r>
                  <w:r>
                    <w:br/>
                  </w:r>
                  <w:r>
                    <w:rPr>
                      <w:rFonts w:ascii="仿宋_GB2312" w:hAnsi="仿宋_GB2312" w:cs="仿宋_GB2312" w:eastAsia="仿宋_GB2312"/>
                      <w:sz w:val="19"/>
                      <w:color w:val="000000"/>
                    </w:rPr>
                    <w:t xml:space="preserve"> 材质：细木工板、松木扶手、地毯</w:t>
                  </w:r>
                  <w:r>
                    <w:br/>
                  </w:r>
                  <w:r>
                    <w:rPr>
                      <w:rFonts w:ascii="仿宋_GB2312" w:hAnsi="仿宋_GB2312" w:cs="仿宋_GB2312" w:eastAsia="仿宋_GB2312"/>
                      <w:sz w:val="19"/>
                      <w:color w:val="000000"/>
                    </w:rPr>
                    <w:t xml:space="preserve"> 用途：感知/心理训练、平衡能力训练及恢复日常上下楼功能的训练</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5800.00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169</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白大褂</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男士连体/长袖</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108.00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170</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白大褂</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男士连体/短袖</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98.00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171</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白大褂</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女士连体/长袖</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108.00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172</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白大褂</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女士连体/短袖</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98.00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173</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白大褂</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男士分体/上衣长袖</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98.00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174</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白大褂</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男士分体/上衣短袖</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88.00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175</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白大褂</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女士分体/上衣长袖+裤子</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158.00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176</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白大褂</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女士分体/上衣短袖+裤子</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148.00 </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177</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医疗污水处理设备</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污水处理量：30-40升/小时</w:t>
                  </w:r>
                  <w:r>
                    <w:br/>
                  </w:r>
                  <w:r>
                    <w:rPr>
                      <w:rFonts w:ascii="仿宋_GB2312" w:hAnsi="仿宋_GB2312" w:cs="仿宋_GB2312" w:eastAsia="仿宋_GB2312"/>
                      <w:sz w:val="19"/>
                      <w:color w:val="000000"/>
                    </w:rPr>
                    <w:t xml:space="preserve"> 进水方式：自吸进水、自流进水双功能</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3200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178</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一次性使用输液器（带针）</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5.5号/6号</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0.85</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179</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医用输液贴</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70*35mm/片，100片/盒</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7.5</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180</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医用输液瓶口贴</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28*16mm</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181</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留置针贴膜</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6*7cm/片100片/盒</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118</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182</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灌肠袋</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1000ml   20只/包</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68</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183</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石蜡块</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蜡疗机专用/A款（用于浸蜡治疗）</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5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850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184</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石蜡块</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蜡疗机专用/B款（用于制作蜡饼）</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1080</w:t>
                  </w:r>
                </w:p>
              </w:tc>
            </w:tr>
            <w:tr>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185</w:t>
                  </w:r>
                </w:p>
              </w:tc>
              <w:tc>
                <w:tcPr>
                  <w:tcW w:type="dxa" w:w="1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中药熏蒸包</w:t>
                  </w:r>
                </w:p>
              </w:tc>
              <w:tc>
                <w:tcPr>
                  <w:tcW w:type="dxa" w:w="10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3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r>
            <w:tr>
              <w:tc>
                <w:tcPr>
                  <w:tcW w:type="dxa" w:w="2638"/>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单价最高限价（元）</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53633.31</w:t>
                  </w:r>
                </w:p>
              </w:tc>
            </w:tr>
          </w:tbl>
          <w:p>
            <w:pPr>
              <w:pStyle w:val="null3"/>
              <w:ind w:right="30"/>
              <w:jc w:val="left"/>
            </w:pPr>
            <w:r>
              <w:rPr>
                <w:rFonts w:ascii="仿宋_GB2312" w:hAnsi="仿宋_GB2312" w:cs="仿宋_GB2312" w:eastAsia="仿宋_GB2312"/>
                <w:sz w:val="21"/>
                <w:b/>
              </w:rPr>
              <w:t>注：</w:t>
            </w:r>
          </w:p>
          <w:p>
            <w:pPr>
              <w:pStyle w:val="null3"/>
              <w:ind w:right="30" w:firstLine="402"/>
              <w:jc w:val="left"/>
            </w:pPr>
            <w:r>
              <w:rPr>
                <w:rFonts w:ascii="仿宋_GB2312" w:hAnsi="仿宋_GB2312" w:cs="仿宋_GB2312" w:eastAsia="仿宋_GB2312"/>
                <w:sz w:val="21"/>
                <w:b/>
              </w:rPr>
              <w:t>1.按每月需求进行采购，据实结算。</w:t>
            </w:r>
          </w:p>
          <w:p>
            <w:pPr>
              <w:pStyle w:val="null3"/>
              <w:ind w:right="30" w:firstLine="402"/>
              <w:jc w:val="left"/>
            </w:pPr>
            <w:r>
              <w:rPr>
                <w:rFonts w:ascii="仿宋_GB2312" w:hAnsi="仿宋_GB2312" w:cs="仿宋_GB2312" w:eastAsia="仿宋_GB2312"/>
                <w:sz w:val="21"/>
                <w:b/>
              </w:rPr>
              <w:t>2.各项物品不能超过“物品采购清单”列出</w:t>
            </w:r>
            <w:r>
              <w:rPr>
                <w:rFonts w:ascii="仿宋_GB2312" w:hAnsi="仿宋_GB2312" w:cs="仿宋_GB2312" w:eastAsia="仿宋_GB2312"/>
                <w:sz w:val="21"/>
                <w:b/>
              </w:rPr>
              <w:t>的最高单价限</w:t>
            </w:r>
            <w:r>
              <w:rPr>
                <w:rFonts w:ascii="仿宋_GB2312" w:hAnsi="仿宋_GB2312" w:cs="仿宋_GB2312" w:eastAsia="仿宋_GB2312"/>
                <w:sz w:val="21"/>
                <w:b/>
              </w:rPr>
              <w:t>价。</w:t>
            </w:r>
          </w:p>
          <w:p>
            <w:pPr>
              <w:pStyle w:val="null3"/>
            </w:pPr>
            <w:r>
              <w:rPr>
                <w:rFonts w:ascii="仿宋_GB2312" w:hAnsi="仿宋_GB2312" w:cs="仿宋_GB2312" w:eastAsia="仿宋_GB2312"/>
                <w:sz w:val="21"/>
                <w:b/>
                <w:color w:val="FF0000"/>
              </w:rPr>
              <w:t xml:space="preserve">      3.供应商应承诺不会因缺货、两票制等因素而停止供货。（提供承诺，格式自拟）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二、技术参数要求</w:t>
            </w:r>
          </w:p>
          <w:p>
            <w:pPr>
              <w:pStyle w:val="null3"/>
              <w:ind w:firstLine="400"/>
              <w:jc w:val="both"/>
            </w:pPr>
            <w:r>
              <w:rPr>
                <w:rFonts w:ascii="仿宋_GB2312" w:hAnsi="仿宋_GB2312" w:cs="仿宋_GB2312" w:eastAsia="仿宋_GB2312"/>
                <w:sz w:val="21"/>
              </w:rPr>
              <w:t>2.1 供应商必须保证充足货源的医用耗材及消毒用品，提供快速、安全、便捷的配送服务，满足医疗卫生机构的临床需要，不论医</w:t>
            </w:r>
            <w:r>
              <w:rPr>
                <w:rFonts w:ascii="仿宋_GB2312" w:hAnsi="仿宋_GB2312" w:cs="仿宋_GB2312" w:eastAsia="仿宋_GB2312"/>
                <w:sz w:val="21"/>
              </w:rPr>
              <w:t>采购人</w:t>
            </w:r>
            <w:r>
              <w:rPr>
                <w:rFonts w:ascii="仿宋_GB2312" w:hAnsi="仿宋_GB2312" w:cs="仿宋_GB2312" w:eastAsia="仿宋_GB2312"/>
                <w:sz w:val="21"/>
              </w:rPr>
              <w:t>路程远近及采购数量和金额多少，均应按合同保证配送。</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00"/>
              <w:jc w:val="both"/>
            </w:pPr>
            <w:r>
              <w:rPr>
                <w:rFonts w:ascii="仿宋_GB2312" w:hAnsi="仿宋_GB2312" w:cs="仿宋_GB2312" w:eastAsia="仿宋_GB2312"/>
                <w:sz w:val="21"/>
              </w:rPr>
              <w:t>2.2 供应商需签署《申报材料真实性保证声明》（格式自拟），承诺所提供的企业资质与产品资质真实、有效，复印件与原件一致，如隐瞒有关情况或提供任何虚假材料，</w:t>
            </w:r>
            <w:r>
              <w:rPr>
                <w:rFonts w:ascii="仿宋_GB2312" w:hAnsi="仿宋_GB2312" w:cs="仿宋_GB2312" w:eastAsia="仿宋_GB2312"/>
                <w:sz w:val="21"/>
              </w:rPr>
              <w:t>西安市儿童福利院</w:t>
            </w:r>
            <w:r>
              <w:rPr>
                <w:rFonts w:ascii="仿宋_GB2312" w:hAnsi="仿宋_GB2312" w:cs="仿宋_GB2312" w:eastAsia="仿宋_GB2312"/>
                <w:sz w:val="21"/>
              </w:rPr>
              <w:t>保留追究权力，有权终止合同，供应商需承担一切法律责任并赔偿</w:t>
            </w:r>
            <w:r>
              <w:rPr>
                <w:rFonts w:ascii="仿宋_GB2312" w:hAnsi="仿宋_GB2312" w:cs="仿宋_GB2312" w:eastAsia="仿宋_GB2312"/>
                <w:sz w:val="21"/>
              </w:rPr>
              <w:t>西安市儿童福利院</w:t>
            </w:r>
            <w:r>
              <w:rPr>
                <w:rFonts w:ascii="仿宋_GB2312" w:hAnsi="仿宋_GB2312" w:cs="仿宋_GB2312" w:eastAsia="仿宋_GB2312"/>
                <w:sz w:val="21"/>
              </w:rPr>
              <w:t>相关损失。</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00"/>
              <w:jc w:val="both"/>
            </w:pPr>
            <w:r>
              <w:rPr>
                <w:rFonts w:ascii="仿宋_GB2312" w:hAnsi="仿宋_GB2312" w:cs="仿宋_GB2312" w:eastAsia="仿宋_GB2312"/>
                <w:sz w:val="21"/>
              </w:rPr>
              <w:t>2.3 所配送的医用耗材由正规企业生产，配送过程中必须使用原厂包装，包装完好无污损。（提供承诺函，格式自拟）</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00"/>
              <w:jc w:val="both"/>
            </w:pPr>
            <w:r>
              <w:rPr>
                <w:rFonts w:ascii="仿宋_GB2312" w:hAnsi="仿宋_GB2312" w:cs="仿宋_GB2312" w:eastAsia="仿宋_GB2312"/>
                <w:sz w:val="21"/>
              </w:rPr>
              <w:t>2.4 供应商所供耗材在收货时的使用期限或有效期限应大于产品标识总使用期限或总有效期限的三分之二。如甲方未使用完，乙方免费调换近效期产品。</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00"/>
              <w:jc w:val="both"/>
            </w:pPr>
            <w:r>
              <w:rPr>
                <w:rFonts w:ascii="仿宋_GB2312" w:hAnsi="仿宋_GB2312" w:cs="仿宋_GB2312" w:eastAsia="仿宋_GB2312"/>
                <w:sz w:val="21"/>
              </w:rPr>
              <w:t>2.5 供应商在产品的运输过程中应符合产品的储存要求。</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ind w:firstLine="400"/>
              <w:jc w:val="both"/>
            </w:pPr>
            <w:r>
              <w:rPr>
                <w:rFonts w:ascii="仿宋_GB2312" w:hAnsi="仿宋_GB2312" w:cs="仿宋_GB2312" w:eastAsia="仿宋_GB2312"/>
                <w:sz w:val="21"/>
              </w:rPr>
              <w:t>2.6 供应商根据每月计划的品种、规格、型号、数量，按时运输到库房，交货时提供产品批号的检验报告、两票、随货同行。</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ind w:firstLine="400"/>
              <w:jc w:val="both"/>
            </w:pPr>
            <w:r>
              <w:rPr>
                <w:rFonts w:ascii="仿宋_GB2312" w:hAnsi="仿宋_GB2312" w:cs="仿宋_GB2312" w:eastAsia="仿宋_GB2312"/>
                <w:sz w:val="21"/>
              </w:rPr>
              <w:t>2.7 供应商所配送的耗材应接到甲方通知在2个工作日内完成送达。</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ind w:firstLine="400"/>
              <w:jc w:val="both"/>
            </w:pPr>
            <w:r>
              <w:rPr>
                <w:rFonts w:ascii="仿宋_GB2312" w:hAnsi="仿宋_GB2312" w:cs="仿宋_GB2312" w:eastAsia="仿宋_GB2312"/>
                <w:sz w:val="21"/>
              </w:rPr>
              <w:t>2.8 供应商必须按照法规的要求，及时召回有重大质量隐患和重大不良反应的产品，并给予妥善处理。</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ind w:firstLine="400"/>
              <w:jc w:val="both"/>
            </w:pPr>
            <w:r>
              <w:rPr>
                <w:rFonts w:ascii="仿宋_GB2312" w:hAnsi="仿宋_GB2312" w:cs="仿宋_GB2312" w:eastAsia="仿宋_GB2312"/>
                <w:sz w:val="21"/>
              </w:rPr>
              <w:t>2.9 供应商在产品流通过程中，若发生产品本身的质量问题，供应商承担全部责任，并赔偿所需方由此而造成的一切经济损失。</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ind w:firstLine="420"/>
              <w:jc w:val="both"/>
            </w:pPr>
            <w:r>
              <w:rPr>
                <w:rFonts w:ascii="仿宋_GB2312" w:hAnsi="仿宋_GB2312" w:cs="仿宋_GB2312" w:eastAsia="仿宋_GB2312"/>
                <w:sz w:val="21"/>
              </w:rPr>
              <w:t>2.10 本项目所供医用耗材须严格执行 “两票制”，凡已在陕西省医药价格和招标采购服务平台（阳光采购平台）挂网的产品，必须具备网上执行采购条件并按规定通过平台采购。</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ind w:firstLine="400"/>
              <w:jc w:val="both"/>
            </w:pPr>
            <w:r>
              <w:rPr>
                <w:rFonts w:ascii="仿宋_GB2312" w:hAnsi="仿宋_GB2312" w:cs="仿宋_GB2312" w:eastAsia="仿宋_GB2312"/>
                <w:sz w:val="21"/>
              </w:rPr>
              <w:t>2.11 供货价格：按照合同约定价格执行，该价格包含成本、运输、包装、配送、伴随服务、税务费用。若陕西医保公共服务平台调整耗材价格，影响合同执行时，合同双方协商调整供货价格以满足采购要求。</w:t>
            </w:r>
            <w:r>
              <w:rPr>
                <w:rFonts w:ascii="仿宋_GB2312" w:hAnsi="仿宋_GB2312" w:cs="仿宋_GB2312" w:eastAsia="仿宋_GB2312"/>
                <w:sz w:val="21"/>
              </w:rPr>
              <w:t>采购人</w:t>
            </w:r>
            <w:r>
              <w:rPr>
                <w:rFonts w:ascii="仿宋_GB2312" w:hAnsi="仿宋_GB2312" w:cs="仿宋_GB2312" w:eastAsia="仿宋_GB2312"/>
                <w:sz w:val="21"/>
              </w:rPr>
              <w:t>提出需求采购的耗材，若合同中未明确采购价格的，合同双方协商后由供货商以不高于该型耗材市场价的单价供货。</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ind w:firstLine="400"/>
              <w:jc w:val="both"/>
            </w:pPr>
            <w:r>
              <w:rPr>
                <w:rFonts w:ascii="仿宋_GB2312" w:hAnsi="仿宋_GB2312" w:cs="仿宋_GB2312" w:eastAsia="仿宋_GB2312"/>
                <w:sz w:val="21"/>
              </w:rPr>
              <w:t>2.12 签订预估合同，每月根据实际供货，供应商开具发票，据实结算，具体细节按照双方商议合同执行。</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ind w:firstLine="400"/>
              <w:jc w:val="both"/>
            </w:pPr>
            <w:r>
              <w:rPr>
                <w:rFonts w:ascii="仿宋_GB2312" w:hAnsi="仿宋_GB2312" w:cs="仿宋_GB2312" w:eastAsia="仿宋_GB2312"/>
                <w:sz w:val="21"/>
              </w:rPr>
              <w:t>2.13 供应商提供的医用耗材注册证编号必须与陕西医保公共服务平台挂网注册证编号完全一致。</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ind w:firstLine="400"/>
              <w:jc w:val="both"/>
            </w:pPr>
            <w:r>
              <w:rPr>
                <w:rFonts w:ascii="仿宋_GB2312" w:hAnsi="仿宋_GB2312" w:cs="仿宋_GB2312" w:eastAsia="仿宋_GB2312"/>
                <w:sz w:val="21"/>
              </w:rPr>
              <w:t>2.14 供应商必须对目录中的产品全部报价，所有价格均应以人民币报价，金额单位为元。</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ind w:firstLine="400"/>
              <w:jc w:val="both"/>
            </w:pPr>
            <w:r>
              <w:rPr>
                <w:rFonts w:ascii="仿宋_GB2312" w:hAnsi="仿宋_GB2312" w:cs="仿宋_GB2312" w:eastAsia="仿宋_GB2312"/>
                <w:sz w:val="21"/>
              </w:rPr>
              <w:t>2.15 报价时在所提供的产品目录中填写报价部分（单价、小计、合计），供应商所报产品价格为最终交货价，应包含一切费用。</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ind w:firstLine="400"/>
              <w:jc w:val="both"/>
            </w:pPr>
            <w:r>
              <w:rPr>
                <w:rFonts w:ascii="仿宋_GB2312" w:hAnsi="仿宋_GB2312" w:cs="仿宋_GB2312" w:eastAsia="仿宋_GB2312"/>
                <w:sz w:val="21"/>
              </w:rPr>
              <w:t>2.16 成交供应商在项目实施过程中，国家有资质要求的，进场单位和人员的资质、资格符合国家、省、市有关规定。实施期间成交供应商所发生的或成交供应商实施场地内发生的或成交供应商原因造成的安全事故，均应由成交供应商负责按有关规定处理善后事宜，并承担给采购人造成的损失。</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ind w:firstLine="400"/>
              <w:jc w:val="both"/>
            </w:pPr>
            <w:r>
              <w:rPr>
                <w:rFonts w:ascii="仿宋_GB2312" w:hAnsi="仿宋_GB2312" w:cs="仿宋_GB2312" w:eastAsia="仿宋_GB2312"/>
                <w:sz w:val="21"/>
              </w:rPr>
              <w:t>2.17 货物质量要求:所供货物须符合国家法律法规规定的质量标准，具有合法的批准文号等，保证货物规格、厂家等与投标目录中所载信息一致。如因所供药品出现质量问题给采购人造成损失的，采购人有权从其货款中扣除相应金额做为补偿。</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ind w:firstLine="400"/>
              <w:jc w:val="both"/>
            </w:pPr>
            <w:r>
              <w:rPr>
                <w:rFonts w:ascii="仿宋_GB2312" w:hAnsi="仿宋_GB2312" w:cs="仿宋_GB2312" w:eastAsia="仿宋_GB2312"/>
                <w:sz w:val="21"/>
              </w:rPr>
              <w:t>2.18 供应商对所供货物品种进行全过程的质量保障，提供技术咨询服务；如因所供货物品种质量问题导致患者人身损害，供应商按照国家法律法规承担相应法律责任。</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ind w:firstLine="400"/>
              <w:jc w:val="both"/>
            </w:pPr>
            <w:r>
              <w:rPr>
                <w:rFonts w:ascii="仿宋_GB2312" w:hAnsi="仿宋_GB2312" w:cs="仿宋_GB2312" w:eastAsia="仿宋_GB2312"/>
                <w:sz w:val="21"/>
              </w:rPr>
              <w:t>2.19 在合同执行期间，若国家或省市集采价格或因政策调整，成交供应商须根据最新调整价格供货。否则，采购人有权解除合同。</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ind w:firstLine="400"/>
              <w:jc w:val="both"/>
            </w:pPr>
            <w:r>
              <w:rPr>
                <w:rFonts w:ascii="仿宋_GB2312" w:hAnsi="仿宋_GB2312" w:cs="仿宋_GB2312" w:eastAsia="仿宋_GB2312"/>
                <w:sz w:val="21"/>
              </w:rPr>
              <w:t>三、结算标准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①本项目按照实际采购货物数量支付费用。</w:t>
            </w:r>
          </w:p>
          <w:p>
            <w:pPr>
              <w:pStyle w:val="null3"/>
              <w:jc w:val="both"/>
            </w:pPr>
            <w:r>
              <w:rPr>
                <w:rFonts w:ascii="仿宋_GB2312" w:hAnsi="仿宋_GB2312" w:cs="仿宋_GB2312" w:eastAsia="仿宋_GB2312"/>
                <w:sz w:val="21"/>
              </w:rPr>
              <w:t>②本项目总报价包含履行本项目所有内容的全部费用，及所有价内价外税金及合理利润等。</w:t>
            </w:r>
          </w:p>
          <w:p>
            <w:pPr>
              <w:pStyle w:val="null3"/>
              <w:jc w:val="both"/>
            </w:pPr>
            <w:r>
              <w:rPr>
                <w:rFonts w:ascii="仿宋_GB2312" w:hAnsi="仿宋_GB2312" w:cs="仿宋_GB2312" w:eastAsia="仿宋_GB2312"/>
                <w:sz w:val="21"/>
              </w:rPr>
              <w:t>③实际结算金额</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物品采购清单报价</w:t>
            </w:r>
            <w:r>
              <w:rPr>
                <w:rFonts w:ascii="仿宋_GB2312" w:hAnsi="仿宋_GB2312" w:cs="仿宋_GB2312" w:eastAsia="仿宋_GB2312"/>
                <w:sz w:val="21"/>
              </w:rPr>
              <w:t>*</w:t>
            </w:r>
            <w:r>
              <w:rPr>
                <w:rFonts w:ascii="仿宋_GB2312" w:hAnsi="仿宋_GB2312" w:cs="仿宋_GB2312" w:eastAsia="仿宋_GB2312"/>
                <w:sz w:val="21"/>
              </w:rPr>
              <w:t>实际采购数量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注</w:t>
            </w:r>
            <w:r>
              <w:rPr>
                <w:rFonts w:ascii="仿宋_GB2312" w:hAnsi="仿宋_GB2312" w:cs="仿宋_GB2312" w:eastAsia="仿宋_GB2312"/>
                <w:sz w:val="21"/>
              </w:rPr>
              <w:t>:</w:t>
            </w:r>
            <w:r>
              <w:rPr>
                <w:rFonts w:ascii="仿宋_GB2312" w:hAnsi="仿宋_GB2312" w:cs="仿宋_GB2312" w:eastAsia="仿宋_GB2312"/>
                <w:sz w:val="21"/>
              </w:rPr>
              <w:t>供货价格不高于陕西省药械集中采购网公布的价格。供货过程中按月据实结算，结算价格不得超过本次成交价格。</w:t>
            </w:r>
          </w:p>
          <w:p>
            <w:pPr>
              <w:pStyle w:val="null3"/>
              <w:jc w:val="both"/>
            </w:pPr>
            <w:r>
              <w:rPr>
                <w:rFonts w:ascii="仿宋_GB2312" w:hAnsi="仿宋_GB2312" w:cs="仿宋_GB2312" w:eastAsia="仿宋_GB2312"/>
                <w:sz w:val="21"/>
              </w:rPr>
              <w:t>本项目采购人累计支付给成交供应商的合同总金额不超过30万元。</w:t>
            </w:r>
          </w:p>
          <w:p>
            <w:pPr>
              <w:pStyle w:val="null3"/>
            </w:pPr>
            <w:r>
              <w:rPr>
                <w:rFonts w:ascii="仿宋_GB2312" w:hAnsi="仿宋_GB2312" w:cs="仿宋_GB2312" w:eastAsia="仿宋_GB2312"/>
                <w:sz w:val="21"/>
              </w:rPr>
              <w:t>④本项目据实结算，分批供货。如成交供应商书面明确表示无需预付款。成交供应商每月所供药品货款，采购人在货到并验收合格且收到发票后付清该月各货款。</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签订起至2026年12月31日前完成。</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 ①.制造商为非中小企业的，甲方根据每月需求，按月进行分批采购，分批付款。每批次产品经甲方确认验收合格且开具发票，达到付款条件之日起 14日内，支付该批次货款金额的100.00%。 ②.制造商为中小企业的，甲方根据每月需求，按月进行分批采购，分批付款。甲方通知后20日内，支付该批次货款金额 40%，每批次产品经甲方确认验收合格且开具发票，达到付款条件之日起 14日内，根据该批次实际数量据实结算该批次剩余货款。（因系统限制原因，以此“（）”之前的付款内容为准）。</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按现行的国家标准或国家行政部门颁布的法律法规、规章制度以及相应的行业标准等进行货物验收，如发现质量问题应进行退换货。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证期（使用期限或有效期限）：供应商所供货物在收货时的使用期限或有效期限应大于产品标识总使用期限或总有效期限的三分之二，如果甲方未使用完，乙方免费调换近效期产品。配送过程中必须使用原厂包装，包装完好无污损。</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详见拟签订采购合同文本。</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 业执照”复印件； （6）供应商是自然人的，应提供其有效的自然人身份证明复印件。</w:t>
            </w:r>
          </w:p>
        </w:tc>
        <w:tc>
          <w:tcPr>
            <w:tcW w:type="dxa" w:w="1661"/>
          </w:tcPr>
          <w:p>
            <w:pPr>
              <w:pStyle w:val="null3"/>
            </w:pPr>
            <w:r>
              <w:rPr>
                <w:rFonts w:ascii="仿宋_GB2312" w:hAnsi="仿宋_GB2312" w:cs="仿宋_GB2312" w:eastAsia="仿宋_GB2312"/>
              </w:rPr>
              <w:t>7-new-new.特定资格证明文件.docx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供应商应提供健全的财务会计制度的证明材料【供应商应提供健全的财务会计制度的证明材料（财务状况报告：提供（1）或提供（2））；】</w:t>
            </w:r>
          </w:p>
        </w:tc>
        <w:tc>
          <w:tcPr>
            <w:tcW w:type="dxa" w:w="3322"/>
          </w:tcPr>
          <w:p>
            <w:pPr>
              <w:pStyle w:val="null3"/>
            </w:pPr>
            <w:r>
              <w:rPr>
                <w:rFonts w:ascii="仿宋_GB2312" w:hAnsi="仿宋_GB2312" w:cs="仿宋_GB2312" w:eastAsia="仿宋_GB2312"/>
              </w:rPr>
              <w:t>（1）提供2024年度或2025年度经审计的财务报告，应满足以下要求： ① 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 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无论开具银行是否标明“复印无效”，供应商提供的复印件在本次谈判中予以认可（即不因“复印无效”字样而认定资信证明复印件无效）。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7-new-new.特定资格证明文件.docx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（1）供应商应提供递交响应文件截止时间前近六个月中任何一个月缴税凭证，时间以税款所属时期为准（银行出具的缴税凭证或税务机关出具的证明的复印件，并加盖本单位公章）。 （2）供应商采用汇算清缴方式缴纳企业所得税的，应提供递交响应文件截止时间前近六个月中任何一个月缴纳增值税或最近一期缴纳企业所得税的凭证，时间以税款所属时期为准（银行出具的缴税凭证或税务机关出具的证明的复印件，并加盖本单位公章）。 （3）缴纳凭证复印件须清晰可辨，并能显示出供应商名称和所缴纳税种种类，单位代扣代缴的个人所得税不能作为单位纳税的凭证。 （4）依法免税或无须缴纳税收的供应商，应提供相应文件证明。</w:t>
            </w:r>
          </w:p>
        </w:tc>
        <w:tc>
          <w:tcPr>
            <w:tcW w:type="dxa" w:w="1661"/>
          </w:tcPr>
          <w:p>
            <w:pPr>
              <w:pStyle w:val="null3"/>
            </w:pPr>
            <w:r>
              <w:rPr>
                <w:rFonts w:ascii="仿宋_GB2312" w:hAnsi="仿宋_GB2312" w:cs="仿宋_GB2312" w:eastAsia="仿宋_GB2312"/>
              </w:rPr>
              <w:t>7-new-new.特定资格证明文件.docx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7-new-new.特定资格证明文件.docx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（1）供应商应提供递交响应文件截止时间前近六个月中至少一个月的缴纳社会保险的凭据（专用收据或社会保险缴纳清单），并加盖本单位公章。 （2）凭证复印件须清晰可辨，并能显示出供应商名称和所缴纳的社保的种类。</w:t>
            </w:r>
          </w:p>
        </w:tc>
        <w:tc>
          <w:tcPr>
            <w:tcW w:type="dxa" w:w="1661"/>
          </w:tcPr>
          <w:p>
            <w:pPr>
              <w:pStyle w:val="null3"/>
            </w:pPr>
            <w:r>
              <w:rPr>
                <w:rFonts w:ascii="仿宋_GB2312" w:hAnsi="仿宋_GB2312" w:cs="仿宋_GB2312" w:eastAsia="仿宋_GB2312"/>
              </w:rPr>
              <w:t>7-new-new.特定资格证明文件.docx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7-new-new.特定资格证明文件.docx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具备履行合同所必需的设备和专业技术能力的证明材料。</w:t>
            </w:r>
          </w:p>
        </w:tc>
        <w:tc>
          <w:tcPr>
            <w:tcW w:type="dxa" w:w="1661"/>
          </w:tcPr>
          <w:p>
            <w:pPr>
              <w:pStyle w:val="null3"/>
            </w:pPr>
            <w:r>
              <w:rPr>
                <w:rFonts w:ascii="仿宋_GB2312" w:hAnsi="仿宋_GB2312" w:cs="仿宋_GB2312" w:eastAsia="仿宋_GB2312"/>
              </w:rPr>
              <w:t>7-new-new.特定资格证明文件.docx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谈判；</w:t>
            </w:r>
          </w:p>
        </w:tc>
        <w:tc>
          <w:tcPr>
            <w:tcW w:type="dxa" w:w="1661"/>
          </w:tcPr>
          <w:p>
            <w:pPr>
              <w:pStyle w:val="null3"/>
            </w:pPr>
            <w:r>
              <w:rPr>
                <w:rFonts w:ascii="仿宋_GB2312" w:hAnsi="仿宋_GB2312" w:cs="仿宋_GB2312" w:eastAsia="仿宋_GB2312"/>
              </w:rPr>
              <w:t>7-new-new.特定资格证明文件.docx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参加的，须提供本人身份证复印件加盖公章；法定代表人授权他人参加的，须提供法定代表人委托授权书原件加盖公章，并提供被授权代表的身份证复印件加盖公章，并提供授权代表本单位证明（养老保险缴纳证明）；</w:t>
            </w:r>
          </w:p>
        </w:tc>
        <w:tc>
          <w:tcPr>
            <w:tcW w:type="dxa" w:w="3322"/>
          </w:tcPr>
          <w:p>
            <w:pPr>
              <w:pStyle w:val="null3"/>
            </w:pPr>
            <w:r>
              <w:rPr>
                <w:rFonts w:ascii="仿宋_GB2312" w:hAnsi="仿宋_GB2312" w:cs="仿宋_GB2312" w:eastAsia="仿宋_GB2312"/>
              </w:rPr>
              <w:t>[1]法定代表人或单位负责人参加谈判的，应提供法定代表人或单位负责人身份证明（提供本人身份证复印件加盖公章）； [2]授权代表参加谈判的，应提供法定代表人或单位负责人身份证明（提供身份证复印件加盖公章）、授权委托书及授权代表在本单位缴纳养老保险证明（加盖公章）。</w:t>
            </w:r>
          </w:p>
        </w:tc>
        <w:tc>
          <w:tcPr>
            <w:tcW w:type="dxa" w:w="1661"/>
          </w:tcPr>
          <w:p>
            <w:pPr>
              <w:pStyle w:val="null3"/>
            </w:pPr>
            <w:r>
              <w:rPr>
                <w:rFonts w:ascii="仿宋_GB2312" w:hAnsi="仿宋_GB2312" w:cs="仿宋_GB2312" w:eastAsia="仿宋_GB2312"/>
              </w:rPr>
              <w:t>7-new-new.特定资格证明文件.docx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7-new-new.特定资格证明文件.docx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7-new-new.特定资格证明文件.docx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需向采购代理机构获取采购文件，未向采购代理机构获取采购文件的供应商均无资格参加谈判。</w:t>
            </w:r>
          </w:p>
        </w:tc>
        <w:tc>
          <w:tcPr>
            <w:tcW w:type="dxa" w:w="1661"/>
          </w:tcPr>
          <w:p>
            <w:pPr>
              <w:pStyle w:val="null3"/>
            </w:pPr>
            <w:r>
              <w:rPr>
                <w:rFonts w:ascii="仿宋_GB2312" w:hAnsi="仿宋_GB2312" w:cs="仿宋_GB2312" w:eastAsia="仿宋_GB2312"/>
              </w:rPr>
              <w:t>7-new-new.特定资格证明文件.docx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7-new-new.特定资格证明文件.docx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供应商经营资格要求</w:t>
            </w:r>
          </w:p>
        </w:tc>
        <w:tc>
          <w:tcPr>
            <w:tcW w:type="dxa" w:w="3322"/>
          </w:tcPr>
          <w:p>
            <w:pPr>
              <w:pStyle w:val="null3"/>
            </w:pPr>
            <w:r>
              <w:rPr>
                <w:rFonts w:ascii="仿宋_GB2312" w:hAnsi="仿宋_GB2312" w:cs="仿宋_GB2312" w:eastAsia="仿宋_GB2312"/>
              </w:rPr>
              <w:t>[1]供应商为代理商： ①谈判产品属于第二类医疗器械管理的供应商需提供第二类医疗器械经营备案凭证（谈判产品须在其经营范围内），谈判产品属于第三类医疗器械管理的供应商需提供医疗器械经营许可证（谈判产品须在其经营范围内）；②谈判产品列入消毒产品管理的，提供消毒产品生产厂家《营业执照》，《消毒产品生产企业卫生许可证》；③谈判产品属于危险化学品的，需提供生产企业的《危险化学品经营许可证》；[2]供应商为生产企业： ①谈判产品属于第二类医疗器械管理的供应商需提供第二类医疗器械经营备案凭证（谈判产品须在其经营范围内），谈判产品属于第三类医疗器械管理的供应商需提供医疗器械经营许可证（谈判产品须在其经营范围内），还须同时提供具有医疗器械生产许可证（谈判产品须在其生产范围内） ②谈判产品列入消毒产品管理的，提供消毒产品生产厂家《营业执照》，《消毒产品生产企业卫生许可证》； ③谈判产品属于危险化学品的，需提供生产企业的《危险化学品生产许可证》。</w:t>
            </w:r>
          </w:p>
        </w:tc>
        <w:tc>
          <w:tcPr>
            <w:tcW w:type="dxa" w:w="1661"/>
          </w:tcPr>
          <w:p>
            <w:pPr>
              <w:pStyle w:val="null3"/>
            </w:pPr>
            <w:r>
              <w:rPr>
                <w:rFonts w:ascii="仿宋_GB2312" w:hAnsi="仿宋_GB2312" w:cs="仿宋_GB2312" w:eastAsia="仿宋_GB2312"/>
              </w:rPr>
              <w:t>7-new-new.特定资格证明文件.docx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②异常低价审查 。一、评审中出现下列情形之一的，谈判小组应当启动异常低价响应审查程序：1.响应报价低于全部通过符合性审查供应商响应平均值50%的，即响应报价&lt;全部通过符合性审查供应商响应报价平均值×50%；2.响应报价低于通过符合性审查的次低报价供应商响应报价50%的，即响应报价&lt;通过符合性审查的次低报价供应商响应报价×50%；3.响应报价低于采购项目最高限价45%的，即响应报价&lt;采购项目最高限价×45%；4.谈判小组基于专业判断，认为供应商报价过低，有可能影响产品质量或者不能诚信履约的其他情形。相关法律法规对供应商报价有规定的，从其规定。 二、谈判小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响应合理性进行判断。 三、供应商提交的相关说明和证明材料，应当加盖供应商（法定名称）电子印章，在谈判小组要求的时间内通过项目电子化交易系统进行提交，否则提交的相关证明材料无效。响应供应商不能提供书面说明、证明材料，或者提供的书面说明、证明材料不能证明其报价合理性的，谈判小组应当将其作为无效响应处理。）</w:t>
            </w:r>
          </w:p>
        </w:tc>
        <w:tc>
          <w:tcPr>
            <w:tcW w:type="dxa" w:w="1661"/>
          </w:tcPr>
          <w:p>
            <w:pPr>
              <w:pStyle w:val="null3"/>
            </w:pPr>
            <w:r>
              <w:rPr>
                <w:rFonts w:ascii="仿宋_GB2312" w:hAnsi="仿宋_GB2312" w:cs="仿宋_GB2312" w:eastAsia="仿宋_GB2312"/>
              </w:rPr>
              <w:t>10-new.分项报价表.docx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首次谈判报价</w:t>
            </w:r>
          </w:p>
        </w:tc>
        <w:tc>
          <w:tcPr>
            <w:tcW w:type="dxa" w:w="3322"/>
          </w:tcPr>
          <w:p>
            <w:pPr>
              <w:pStyle w:val="null3"/>
            </w:pPr>
            <w:r>
              <w:rPr>
                <w:rFonts w:ascii="仿宋_GB2312" w:hAnsi="仿宋_GB2312" w:cs="仿宋_GB2312" w:eastAsia="仿宋_GB2312"/>
              </w:rPr>
              <w:t>供应商首次谈判报价没有超出采购预算或最高限价</w:t>
            </w:r>
          </w:p>
        </w:tc>
        <w:tc>
          <w:tcPr>
            <w:tcW w:type="dxa" w:w="1661"/>
          </w:tcPr>
          <w:p>
            <w:pPr>
              <w:pStyle w:val="null3"/>
            </w:pPr>
            <w:r>
              <w:rPr>
                <w:rFonts w:ascii="仿宋_GB2312" w:hAnsi="仿宋_GB2312" w:cs="仿宋_GB2312" w:eastAsia="仿宋_GB2312"/>
              </w:rPr>
              <w:t>10-new.分项报价表.docx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（弄虚作假、串通投标的情形见附注）</w:t>
            </w:r>
          </w:p>
        </w:tc>
        <w:tc>
          <w:tcPr>
            <w:tcW w:type="dxa" w:w="1661"/>
          </w:tcPr>
          <w:p>
            <w:pPr>
              <w:pStyle w:val="null3"/>
            </w:pPr>
            <w:r>
              <w:rPr>
                <w:rFonts w:ascii="仿宋_GB2312" w:hAnsi="仿宋_GB2312" w:cs="仿宋_GB2312" w:eastAsia="仿宋_GB2312"/>
              </w:rPr>
              <w:t>14.响应方案.docx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14.响应方案.docx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14.响应方案.docx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14.响应方案.docx 12.商务条款偏离表.docx 13.技术偏离表.docx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另（①支持本国产品。根据《国务院办公厅关于在政府采购中实施本国产品标准及相关政策的通知》（国办发﹝2025﹞34号）和《陕西省财政厅关于在政府采购活动中实施本国产品标准及相关政策的通知》（陕财办采〔2026〕2 号）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供应商对其提供的产品出具《关于符合本国产品标准的声明函》（格式详见投标文件格式）或财政部会同有关部门规定的有关证明文件，《声明函》或有关证明文件符合要求的，该产品视为本国产品。</w:t>
            </w:r>
          </w:p>
        </w:tc>
        <w:tc>
          <w:tcPr>
            <w:tcW w:type="dxa" w:w="1910"/>
          </w:tcPr>
          <w:p>
            <w:pPr>
              <w:pStyle w:val="null3"/>
            </w:pPr>
            <w:r>
              <w:rPr>
                <w:rFonts w:ascii="仿宋_GB2312" w:hAnsi="仿宋_GB2312" w:cs="仿宋_GB2312" w:eastAsia="仿宋_GB2312"/>
              </w:rPr>
              <w:t>关于符合本国产品标准的声明函.docx 10-new.分项报价表.docx 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详见附件：7-new-new.特定资格证明文件.docx</w:t>
      </w:r>
    </w:p>
    <w:p>
      <w:pPr>
        <w:pStyle w:val="null3"/>
        <w:ind w:firstLine="960"/>
      </w:pPr>
      <w:r>
        <w:rPr>
          <w:rFonts w:ascii="仿宋_GB2312" w:hAnsi="仿宋_GB2312" w:cs="仿宋_GB2312" w:eastAsia="仿宋_GB2312"/>
        </w:rPr>
        <w:t>详见附件：10-new.分项报价表.docx</w:t>
      </w:r>
    </w:p>
    <w:p>
      <w:pPr>
        <w:pStyle w:val="null3"/>
        <w:ind w:firstLine="960"/>
      </w:pPr>
      <w:r>
        <w:rPr>
          <w:rFonts w:ascii="仿宋_GB2312" w:hAnsi="仿宋_GB2312" w:cs="仿宋_GB2312" w:eastAsia="仿宋_GB2312"/>
        </w:rPr>
        <w:t>详见附件：12.商务条款偏离表.docx</w:t>
      </w:r>
    </w:p>
    <w:p>
      <w:pPr>
        <w:pStyle w:val="null3"/>
        <w:ind w:firstLine="960"/>
      </w:pPr>
      <w:r>
        <w:rPr>
          <w:rFonts w:ascii="仿宋_GB2312" w:hAnsi="仿宋_GB2312" w:cs="仿宋_GB2312" w:eastAsia="仿宋_GB2312"/>
        </w:rPr>
        <w:t>详见附件：13.技术偏离表.docx</w:t>
      </w:r>
    </w:p>
    <w:p>
      <w:pPr>
        <w:pStyle w:val="null3"/>
        <w:ind w:firstLine="960"/>
      </w:pPr>
      <w:r>
        <w:rPr>
          <w:rFonts w:ascii="仿宋_GB2312" w:hAnsi="仿宋_GB2312" w:cs="仿宋_GB2312" w:eastAsia="仿宋_GB2312"/>
        </w:rPr>
        <w:t>详见附件：14.响应方案.docx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详见附件：第七章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