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版本号：LZBA2026-28720260415001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抖音平台宣传运营采购项目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LZBA2026-287</w:t>
      </w:r>
      <w:r>
        <w:br/>
      </w:r>
      <w:r>
        <w:br/>
      </w:r>
      <w:r>
        <w:br/>
      </w:r>
    </w:p>
    <w:p>
      <w:pPr>
        <w:pStyle w:val="null3"/>
        <w:jc w:val="center"/>
        <w:outlineLvl w:val="2"/>
      </w:pPr>
      <w:r>
        <w:rPr>
          <w:rFonts w:ascii="仿宋_GB2312" w:hAnsi="仿宋_GB2312" w:cs="仿宋_GB2312" w:eastAsia="仿宋_GB2312"/>
          <w:sz w:val="28"/>
          <w:b/>
        </w:rPr>
        <w:t>西安市中心血站</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西安市中心血站</w:t>
      </w:r>
      <w:r>
        <w:rPr>
          <w:rFonts w:ascii="仿宋_GB2312" w:hAnsi="仿宋_GB2312" w:cs="仿宋_GB2312" w:eastAsia="仿宋_GB2312"/>
        </w:rPr>
        <w:t>委托，拟对</w:t>
      </w:r>
      <w:r>
        <w:rPr>
          <w:rFonts w:ascii="仿宋_GB2312" w:hAnsi="仿宋_GB2312" w:cs="仿宋_GB2312" w:eastAsia="仿宋_GB2312"/>
        </w:rPr>
        <w:t>抖音平台宣传运营采购项目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LZBA2026-287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抖音平台宣传运营采购项目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无偿献血宣传工作是无偿献血工作的基础。按照《中华人民共和国献血法》《全国无偿献血表彰奖励办法》等法律法规关于宣传方面相关规定和要求，预搭建抖音官方账号，同时依托抖音平台其算法精准推荐、短视频直观易传播、年轻用户聚集的独特优势，触达献血核心群体，并以趣味科普破除认知误区，塑造透明公益形象，建立高效的新媒体宣传渠道，提升公众对无偿献血的认同感与参与度，为保障临床用血安全稳定供给夯实社会基础。</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采购包1（抖音平台宣传运营采购项目）：属于专门面向中小企业采购。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负责人身份证明或法定代表人/负责人授权书：法定代表人/负责人直接参加的，需递交《法定代表人/负责人身份证明》；法定代表人/负责人授权代表参加的，需递交《法定代表人/负责人授权书》及授权代表响应文件递交截止时间前近三个月（2026年2月1日至今）社会保险缴纳证明。</w:t>
      </w:r>
    </w:p>
    <w:p>
      <w:pPr>
        <w:pStyle w:val="null3"/>
      </w:pPr>
      <w:r>
        <w:rPr>
          <w:rFonts w:ascii="仿宋_GB2312" w:hAnsi="仿宋_GB2312" w:cs="仿宋_GB2312" w:eastAsia="仿宋_GB2312"/>
        </w:rPr>
        <w:t>2、承诺书：本项目不接受西安市中心血站职工及其亲属投资开办的企业投标，提供承诺书。</w:t>
      </w:r>
    </w:p>
    <w:p>
      <w:pPr>
        <w:pStyle w:val="null3"/>
      </w:pPr>
      <w:r>
        <w:rPr>
          <w:rFonts w:ascii="仿宋_GB2312" w:hAnsi="仿宋_GB2312" w:cs="仿宋_GB2312" w:eastAsia="仿宋_GB2312"/>
        </w:rPr>
        <w:t>3、质量保证承诺书：供应商提供质量保证承诺书。</w:t>
      </w:r>
    </w:p>
    <w:p>
      <w:pPr>
        <w:pStyle w:val="null3"/>
      </w:pPr>
      <w:r>
        <w:rPr>
          <w:rFonts w:ascii="仿宋_GB2312" w:hAnsi="仿宋_GB2312" w:cs="仿宋_GB2312" w:eastAsia="仿宋_GB2312"/>
        </w:rPr>
        <w:t>4、本项目不接受联合体投标：供应商提供非联合体投标承诺书</w:t>
      </w:r>
    </w:p>
    <w:p>
      <w:pPr>
        <w:pStyle w:val="null3"/>
      </w:pPr>
      <w:r>
        <w:rPr>
          <w:rFonts w:ascii="仿宋_GB2312" w:hAnsi="仿宋_GB2312" w:cs="仿宋_GB2312" w:eastAsia="仿宋_GB2312"/>
        </w:rPr>
        <w:t>5、信用记录：供应商不得为“信用中国” 网站（www.creditchina.gov.cn ）中列入失信被执行人和重大税收违法失信主体的供应商，不得为中国政府采购网（www.ccgp.gov.cn ）政府采购严重违法失信行为记录名单中被财政部门禁止参加政府采购活动的供应商。采购人或采购代理机构在磋商截止后当日通过“信用中国” 网站(www. creditchina. gov.cn)、中国政府采购网 (www.ccgp.gov.cn)查询相关主体信用记录网页截图保存；</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西安市中心血站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朱雀大街407号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靳老师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029-85212746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郝嘉钰、刘婧、张波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029-88228899-613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代理服务费收费标准：参照《国家计委关于印发&lt;招标代理服务收费管理暂行办法&gt;的通知》（计价格【2002】1980号）文件规定按标准计取。 采购代理服务费以转账或现金形式交纳，服务费缴纳账号如下： 收款单位：龙寰项目管理咨询有限公司 开户行：平安银行西安高新路支行 账号：30201278018364</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西安市中心血站</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西安市中心血站</w:t>
      </w:r>
      <w:r>
        <w:rPr>
          <w:rFonts w:ascii="仿宋_GB2312" w:hAnsi="仿宋_GB2312" w:cs="仿宋_GB2312" w:eastAsia="仿宋_GB2312"/>
        </w:rPr>
        <w:t>负责解释。除上述磋商文件内容，其他内容由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西安市中心血站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按采购合同条款执行。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 郝嘉钰、刘婧、张波</w:t>
      </w:r>
    </w:p>
    <w:p>
      <w:pPr>
        <w:pStyle w:val="null3"/>
      </w:pPr>
      <w:r>
        <w:rPr>
          <w:rFonts w:ascii="仿宋_GB2312" w:hAnsi="仿宋_GB2312" w:cs="仿宋_GB2312" w:eastAsia="仿宋_GB2312"/>
        </w:rPr>
        <w:t>联系电话： 029-88228899-613</w:t>
      </w:r>
    </w:p>
    <w:p>
      <w:pPr>
        <w:pStyle w:val="null3"/>
      </w:pPr>
      <w:r>
        <w:rPr>
          <w:rFonts w:ascii="仿宋_GB2312" w:hAnsi="仿宋_GB2312" w:cs="仿宋_GB2312" w:eastAsia="仿宋_GB2312"/>
        </w:rPr>
        <w:t>地址：西安市太白南路181号西部电子社区A座A区501室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无偿献血宣传工作是无偿献血工作的基础。按照《中华人民共和国献血法》《全国无偿献血表彰奖励办法》等法律法规关于宣传方面相关规定和要求，预搭建抖音官方账号，同时依托抖音平台其算法精准推荐、短视频直观易传播、年轻用户聚集的独特优势，触达献血核心群体，并以趣味科普破除认知误区，塑造透明公益形象，建立高效的新媒体宣传渠道，提升公众对无偿献血的认同感与参与度，为保障临床用血安全稳定供给夯实社会基础。</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抖音平台宣传运营采购项目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标的名称：抖音平台宣传运营采购项目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w:t>
            </w:r>
            <w:r>
              <w:rPr>
                <w:rFonts w:ascii="仿宋_GB2312" w:hAnsi="仿宋_GB2312" w:cs="仿宋_GB2312" w:eastAsia="仿宋_GB2312"/>
                <w:sz w:val="24"/>
              </w:rPr>
              <w:t>项目概况</w:t>
            </w:r>
          </w:p>
          <w:p>
            <w:pPr>
              <w:pStyle w:val="null3"/>
              <w:ind w:firstLine="480"/>
              <w:jc w:val="both"/>
            </w:pPr>
            <w:r>
              <w:rPr>
                <w:rFonts w:ascii="仿宋_GB2312" w:hAnsi="仿宋_GB2312" w:cs="仿宋_GB2312" w:eastAsia="仿宋_GB2312"/>
                <w:sz w:val="24"/>
              </w:rPr>
              <w:t>无偿献血宣传工作是无偿献血工作的基础。按照《中华人民共和国献血法</w:t>
            </w:r>
            <w:r>
              <w:rPr>
                <w:rFonts w:ascii="仿宋_GB2312" w:hAnsi="仿宋_GB2312" w:cs="仿宋_GB2312" w:eastAsia="仿宋_GB2312"/>
                <w:sz w:val="24"/>
              </w:rPr>
              <w:t>》《</w:t>
            </w:r>
            <w:r>
              <w:rPr>
                <w:rFonts w:ascii="仿宋_GB2312" w:hAnsi="仿宋_GB2312" w:cs="仿宋_GB2312" w:eastAsia="仿宋_GB2312"/>
                <w:sz w:val="24"/>
              </w:rPr>
              <w:t>全国无偿献血表彰奖励办法</w:t>
            </w:r>
            <w:r>
              <w:rPr>
                <w:rFonts w:ascii="仿宋_GB2312" w:hAnsi="仿宋_GB2312" w:cs="仿宋_GB2312" w:eastAsia="仿宋_GB2312"/>
                <w:sz w:val="24"/>
              </w:rPr>
              <w:t>》</w:t>
            </w:r>
            <w:r>
              <w:rPr>
                <w:rFonts w:ascii="仿宋_GB2312" w:hAnsi="仿宋_GB2312" w:cs="仿宋_GB2312" w:eastAsia="仿宋_GB2312"/>
                <w:sz w:val="24"/>
              </w:rPr>
              <w:t>等法律法规关于宣传方面相关规定和要求，</w:t>
            </w:r>
            <w:r>
              <w:rPr>
                <w:rFonts w:ascii="仿宋_GB2312" w:hAnsi="仿宋_GB2312" w:cs="仿宋_GB2312" w:eastAsia="仿宋_GB2312"/>
                <w:sz w:val="24"/>
              </w:rPr>
              <w:t>预搭建</w:t>
            </w:r>
            <w:r>
              <w:rPr>
                <w:rFonts w:ascii="仿宋_GB2312" w:hAnsi="仿宋_GB2312" w:cs="仿宋_GB2312" w:eastAsia="仿宋_GB2312"/>
                <w:sz w:val="24"/>
              </w:rPr>
              <w:t>抖音</w:t>
            </w:r>
            <w:r>
              <w:rPr>
                <w:rFonts w:ascii="仿宋_GB2312" w:hAnsi="仿宋_GB2312" w:cs="仿宋_GB2312" w:eastAsia="仿宋_GB2312"/>
                <w:sz w:val="24"/>
              </w:rPr>
              <w:t>官方账号</w:t>
            </w:r>
            <w:r>
              <w:rPr>
                <w:rFonts w:ascii="仿宋_GB2312" w:hAnsi="仿宋_GB2312" w:cs="仿宋_GB2312" w:eastAsia="仿宋_GB2312"/>
                <w:sz w:val="24"/>
              </w:rPr>
              <w:t>，</w:t>
            </w:r>
            <w:r>
              <w:rPr>
                <w:rFonts w:ascii="仿宋_GB2312" w:hAnsi="仿宋_GB2312" w:cs="仿宋_GB2312" w:eastAsia="仿宋_GB2312"/>
                <w:sz w:val="24"/>
              </w:rPr>
              <w:t>同时</w:t>
            </w:r>
            <w:r>
              <w:rPr>
                <w:rFonts w:ascii="仿宋_GB2312" w:hAnsi="仿宋_GB2312" w:cs="仿宋_GB2312" w:eastAsia="仿宋_GB2312"/>
                <w:sz w:val="24"/>
              </w:rPr>
              <w:t>依托抖音平台其算法精准推荐、短视频直观易传播、年轻用户聚集的独特优势</w:t>
            </w:r>
            <w:r>
              <w:rPr>
                <w:rFonts w:ascii="仿宋_GB2312" w:hAnsi="仿宋_GB2312" w:cs="仿宋_GB2312" w:eastAsia="仿宋_GB2312"/>
                <w:sz w:val="24"/>
              </w:rPr>
              <w:t>，触达献血核心群体，</w:t>
            </w:r>
            <w:r>
              <w:rPr>
                <w:rFonts w:ascii="仿宋_GB2312" w:hAnsi="仿宋_GB2312" w:cs="仿宋_GB2312" w:eastAsia="仿宋_GB2312"/>
                <w:sz w:val="24"/>
              </w:rPr>
              <w:t>并</w:t>
            </w:r>
            <w:r>
              <w:rPr>
                <w:rFonts w:ascii="仿宋_GB2312" w:hAnsi="仿宋_GB2312" w:cs="仿宋_GB2312" w:eastAsia="仿宋_GB2312"/>
                <w:sz w:val="24"/>
              </w:rPr>
              <w:t>以趣味科普破除认知误区，塑造透明公益形象，</w:t>
            </w:r>
            <w:r>
              <w:rPr>
                <w:rFonts w:ascii="仿宋_GB2312" w:hAnsi="仿宋_GB2312" w:cs="仿宋_GB2312" w:eastAsia="仿宋_GB2312"/>
                <w:sz w:val="24"/>
              </w:rPr>
              <w:t>建立高效的新媒体宣传渠道</w:t>
            </w:r>
            <w:r>
              <w:rPr>
                <w:rFonts w:ascii="仿宋_GB2312" w:hAnsi="仿宋_GB2312" w:cs="仿宋_GB2312" w:eastAsia="仿宋_GB2312"/>
                <w:sz w:val="24"/>
              </w:rPr>
              <w:t>，提升公众对无偿献血的认同感与参与度，为保障临床用血安全稳定供给夯实社会基础。</w:t>
            </w:r>
          </w:p>
          <w:p>
            <w:pPr>
              <w:pStyle w:val="null3"/>
              <w:ind w:firstLine="480"/>
              <w:jc w:val="both"/>
            </w:pPr>
            <w:r>
              <w:rPr>
                <w:rFonts w:ascii="仿宋_GB2312" w:hAnsi="仿宋_GB2312" w:cs="仿宋_GB2312" w:eastAsia="仿宋_GB2312"/>
                <w:sz w:val="24"/>
              </w:rPr>
              <w:t>二、服务内容</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搭建官方账号。</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账号维护</w:t>
            </w:r>
            <w:r>
              <w:rPr>
                <w:rFonts w:ascii="仿宋_GB2312" w:hAnsi="仿宋_GB2312" w:cs="仿宋_GB2312" w:eastAsia="仿宋_GB2312"/>
                <w:sz w:val="24"/>
              </w:rPr>
              <w:t>及活动</w:t>
            </w:r>
            <w:r>
              <w:rPr>
                <w:rFonts w:ascii="仿宋_GB2312" w:hAnsi="仿宋_GB2312" w:cs="仿宋_GB2312" w:eastAsia="仿宋_GB2312"/>
                <w:sz w:val="24"/>
              </w:rPr>
              <w:t>运维</w:t>
            </w:r>
            <w:r>
              <w:rPr>
                <w:rFonts w:ascii="仿宋_GB2312" w:hAnsi="仿宋_GB2312" w:cs="仿宋_GB2312" w:eastAsia="仿宋_GB2312"/>
                <w:sz w:val="24"/>
              </w:rPr>
              <w:t>:含账号运营维护</w:t>
            </w:r>
            <w:r>
              <w:rPr>
                <w:rFonts w:ascii="仿宋_GB2312" w:hAnsi="仿宋_GB2312" w:cs="仿宋_GB2312" w:eastAsia="仿宋_GB2312"/>
                <w:sz w:val="24"/>
              </w:rPr>
              <w:t>、</w:t>
            </w:r>
            <w:r>
              <w:rPr>
                <w:rFonts w:ascii="仿宋_GB2312" w:hAnsi="仿宋_GB2312" w:cs="仿宋_GB2312" w:eastAsia="仿宋_GB2312"/>
                <w:sz w:val="24"/>
              </w:rPr>
              <w:t>评论区管理。</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全年策划、拍摄</w:t>
            </w:r>
            <w:r>
              <w:rPr>
                <w:rFonts w:ascii="仿宋_GB2312" w:hAnsi="仿宋_GB2312" w:cs="仿宋_GB2312" w:eastAsia="仿宋_GB2312"/>
                <w:sz w:val="24"/>
              </w:rPr>
              <w:t>、</w:t>
            </w:r>
            <w:r>
              <w:rPr>
                <w:rFonts w:ascii="仿宋_GB2312" w:hAnsi="仿宋_GB2312" w:cs="仿宋_GB2312" w:eastAsia="仿宋_GB2312"/>
                <w:sz w:val="24"/>
              </w:rPr>
              <w:t>制作</w:t>
            </w:r>
            <w:r>
              <w:rPr>
                <w:rFonts w:ascii="仿宋_GB2312" w:hAnsi="仿宋_GB2312" w:cs="仿宋_GB2312" w:eastAsia="仿宋_GB2312"/>
                <w:sz w:val="24"/>
              </w:rPr>
              <w:t>30个短视频</w:t>
            </w:r>
            <w:r>
              <w:rPr>
                <w:rFonts w:ascii="仿宋_GB2312" w:hAnsi="仿宋_GB2312" w:cs="仿宋_GB2312" w:eastAsia="仿宋_GB2312"/>
                <w:sz w:val="24"/>
              </w:rPr>
              <w:t>，</w:t>
            </w:r>
            <w:r>
              <w:rPr>
                <w:rFonts w:ascii="仿宋_GB2312" w:hAnsi="仿宋_GB2312" w:cs="仿宋_GB2312" w:eastAsia="仿宋_GB2312"/>
                <w:sz w:val="24"/>
              </w:rPr>
              <w:t>单个短视频时长不超过</w:t>
            </w:r>
            <w:r>
              <w:rPr>
                <w:rFonts w:ascii="仿宋_GB2312" w:hAnsi="仿宋_GB2312" w:cs="仿宋_GB2312" w:eastAsia="仿宋_GB2312"/>
                <w:sz w:val="24"/>
              </w:rPr>
              <w:t>1分钟</w:t>
            </w:r>
            <w:r>
              <w:rPr>
                <w:rFonts w:ascii="仿宋_GB2312" w:hAnsi="仿宋_GB2312" w:cs="仿宋_GB2312" w:eastAsia="仿宋_GB2312"/>
                <w:sz w:val="24"/>
              </w:rPr>
              <w:t>，</w:t>
            </w:r>
            <w:r>
              <w:rPr>
                <w:rFonts w:ascii="仿宋_GB2312" w:hAnsi="仿宋_GB2312" w:cs="仿宋_GB2312" w:eastAsia="仿宋_GB2312"/>
                <w:sz w:val="24"/>
              </w:rPr>
              <w:t>经采购人审核后发布。</w:t>
            </w:r>
            <w:r>
              <w:rPr>
                <w:rFonts w:ascii="仿宋_GB2312" w:hAnsi="仿宋_GB2312" w:cs="仿宋_GB2312" w:eastAsia="仿宋_GB2312"/>
                <w:sz w:val="24"/>
              </w:rPr>
              <w:t>短视频创作需对标热门社交平台的主流拍摄剪辑风格，精准把握快节奏转场、沉浸式运镜、强情绪卡点等流量密码</w:t>
            </w:r>
            <w:r>
              <w:rPr>
                <w:rFonts w:ascii="仿宋_GB2312" w:hAnsi="仿宋_GB2312" w:cs="仿宋_GB2312" w:eastAsia="仿宋_GB2312"/>
                <w:sz w:val="24"/>
              </w:rPr>
              <w:t>；</w:t>
            </w:r>
            <w:r>
              <w:rPr>
                <w:rFonts w:ascii="仿宋_GB2312" w:hAnsi="仿宋_GB2312" w:cs="仿宋_GB2312" w:eastAsia="仿宋_GB2312"/>
                <w:sz w:val="24"/>
              </w:rPr>
              <w:t>同时必须紧扣无偿献血公益宣传的核心主题，不偏离正能量导向，通过年轻化、接地气的视听表达，让献血知识科普、暖心献血事迹既能引发大众情感共鸣，又能突破传播圈层，实现高浏览量与好口碑的双重目标。</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舆论动态</w:t>
            </w:r>
            <w:r>
              <w:rPr>
                <w:rFonts w:ascii="仿宋_GB2312" w:hAnsi="仿宋_GB2312" w:cs="仿宋_GB2312" w:eastAsia="仿宋_GB2312"/>
                <w:sz w:val="24"/>
              </w:rPr>
              <w:t>监测及处置。</w:t>
            </w:r>
          </w:p>
          <w:p>
            <w:pPr>
              <w:pStyle w:val="null3"/>
              <w:ind w:firstLine="480"/>
              <w:jc w:val="both"/>
            </w:pPr>
            <w:r>
              <w:rPr>
                <w:rFonts w:ascii="仿宋_GB2312" w:hAnsi="仿宋_GB2312" w:cs="仿宋_GB2312" w:eastAsia="仿宋_GB2312"/>
                <w:sz w:val="24"/>
              </w:rPr>
              <w:t>三、技术要求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1.抖音官方账号搭建技术需求</w:t>
            </w:r>
          </w:p>
          <w:p>
            <w:pPr>
              <w:pStyle w:val="null3"/>
              <w:ind w:firstLine="420"/>
              <w:jc w:val="both"/>
            </w:pPr>
            <w:r>
              <w:rPr>
                <w:rFonts w:ascii="仿宋_GB2312" w:hAnsi="仿宋_GB2312" w:cs="仿宋_GB2312" w:eastAsia="仿宋_GB2312"/>
                <w:sz w:val="24"/>
              </w:rPr>
              <w:t>1.1账号注册与认证。供应商需协助完成抖音官方账号的注册流程，包括企业资质审核、账号信息填写（头像、昵称、简介等）。</w:t>
            </w:r>
          </w:p>
          <w:p>
            <w:pPr>
              <w:pStyle w:val="null3"/>
              <w:ind w:firstLine="420"/>
              <w:jc w:val="both"/>
            </w:pPr>
            <w:r>
              <w:rPr>
                <w:rFonts w:ascii="仿宋_GB2312" w:hAnsi="仿宋_GB2312" w:cs="仿宋_GB2312" w:eastAsia="仿宋_GB2312"/>
                <w:sz w:val="24"/>
              </w:rPr>
              <w:t>1.2完成官方认证（蓝V认证），确保账号权威性与信任度。</w:t>
            </w:r>
          </w:p>
          <w:p>
            <w:pPr>
              <w:pStyle w:val="null3"/>
              <w:ind w:firstLine="480"/>
              <w:jc w:val="both"/>
            </w:pPr>
            <w:r>
              <w:rPr>
                <w:rFonts w:ascii="仿宋_GB2312" w:hAnsi="仿宋_GB2312" w:cs="仿宋_GB2312" w:eastAsia="仿宋_GB2312"/>
                <w:sz w:val="24"/>
              </w:rPr>
              <w:t>2.账号运营维护与评论区管理技术需求</w:t>
            </w:r>
          </w:p>
          <w:p>
            <w:pPr>
              <w:pStyle w:val="null3"/>
              <w:ind w:firstLine="420"/>
              <w:jc w:val="both"/>
            </w:pPr>
            <w:r>
              <w:rPr>
                <w:rFonts w:ascii="仿宋_GB2312" w:hAnsi="仿宋_GB2312" w:cs="仿宋_GB2312" w:eastAsia="仿宋_GB2312"/>
                <w:sz w:val="24"/>
              </w:rPr>
              <w:t>2.1.运营维护技术指标</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2.1.1内容发布策略：制定月度/季度内容排期表，结合热点话题与无偿献血主题，确保内容时效性与相关性。</w:t>
            </w:r>
          </w:p>
          <w:p>
            <w:pPr>
              <w:pStyle w:val="null3"/>
              <w:ind w:firstLine="420"/>
              <w:jc w:val="both"/>
            </w:pPr>
            <w:r>
              <w:rPr>
                <w:rFonts w:ascii="仿宋_GB2312" w:hAnsi="仿宋_GB2312" w:cs="仿宋_GB2312" w:eastAsia="仿宋_GB2312"/>
                <w:sz w:val="24"/>
              </w:rPr>
              <w:t>2.1.2数据监测系统：实时跟踪视频播放量、互动率（点赞/评论/转发）、完播率等核心指标，提供可视化数据看板。</w:t>
            </w:r>
          </w:p>
          <w:p>
            <w:pPr>
              <w:pStyle w:val="null3"/>
              <w:ind w:firstLine="420"/>
              <w:jc w:val="both"/>
            </w:pPr>
            <w:r>
              <w:rPr>
                <w:rFonts w:ascii="仿宋_GB2312" w:hAnsi="仿宋_GB2312" w:cs="仿宋_GB2312" w:eastAsia="仿宋_GB2312"/>
                <w:sz w:val="24"/>
              </w:rPr>
              <w:t>2.1.3算法优化能力：熟悉抖音推荐机制，通过标签优化、发布时间选择、话题标签使用等手段提升内容曝光。</w:t>
            </w:r>
          </w:p>
          <w:p>
            <w:pPr>
              <w:pStyle w:val="null3"/>
              <w:ind w:firstLine="420"/>
              <w:jc w:val="both"/>
            </w:pPr>
            <w:r>
              <w:rPr>
                <w:rFonts w:ascii="仿宋_GB2312" w:hAnsi="仿宋_GB2312" w:cs="仿宋_GB2312" w:eastAsia="仿宋_GB2312"/>
                <w:sz w:val="24"/>
              </w:rPr>
              <w:t>2.1.4目标达成保障：单个视频浏览量≥10万且互动总量（转发+评论+点赞）≥1万/条次的视频数量</w:t>
            </w:r>
            <w:r>
              <w:rPr>
                <w:rFonts w:ascii="仿宋_GB2312" w:hAnsi="仿宋_GB2312" w:cs="仿宋_GB2312" w:eastAsia="仿宋_GB2312"/>
                <w:sz w:val="24"/>
              </w:rPr>
              <w:t>≥</w:t>
            </w:r>
            <w:r>
              <w:rPr>
                <w:rFonts w:ascii="仿宋_GB2312" w:hAnsi="仿宋_GB2312" w:cs="仿宋_GB2312" w:eastAsia="仿宋_GB2312"/>
                <w:sz w:val="24"/>
              </w:rPr>
              <w:t>3条。</w:t>
            </w:r>
          </w:p>
          <w:p>
            <w:pPr>
              <w:pStyle w:val="null3"/>
              <w:ind w:firstLine="420"/>
              <w:jc w:val="both"/>
            </w:pPr>
            <w:r>
              <w:rPr>
                <w:rFonts w:ascii="仿宋_GB2312" w:hAnsi="仿宋_GB2312" w:cs="仿宋_GB2312" w:eastAsia="仿宋_GB2312"/>
                <w:sz w:val="24"/>
              </w:rPr>
              <w:t>2.2评论区管理技术需求</w:t>
            </w:r>
          </w:p>
          <w:p>
            <w:pPr>
              <w:pStyle w:val="null3"/>
              <w:ind w:firstLine="420"/>
              <w:jc w:val="both"/>
            </w:pPr>
            <w:r>
              <w:rPr>
                <w:rFonts w:ascii="仿宋_GB2312" w:hAnsi="仿宋_GB2312" w:cs="仿宋_GB2312" w:eastAsia="仿宋_GB2312"/>
                <w:sz w:val="24"/>
              </w:rPr>
              <w:t>2.2.1智能监测工具：部署舆论动态监测系统，实时抓取评论区关键词（如负面词汇、敏感话题），自动分类并预警。</w:t>
            </w:r>
          </w:p>
          <w:p>
            <w:pPr>
              <w:pStyle w:val="null3"/>
              <w:ind w:firstLine="420"/>
              <w:jc w:val="both"/>
            </w:pPr>
            <w:r>
              <w:rPr>
                <w:rFonts w:ascii="仿宋_GB2312" w:hAnsi="仿宋_GB2312" w:cs="仿宋_GB2312" w:eastAsia="仿宋_GB2312"/>
                <w:sz w:val="24"/>
              </w:rPr>
              <w:t>2.2.2人工响应机制：配备专业客服团队，针对用户咨询、反馈或投诉进行24小时内响应，引导正向互动。</w:t>
            </w:r>
          </w:p>
          <w:p>
            <w:pPr>
              <w:pStyle w:val="null3"/>
              <w:ind w:firstLine="420"/>
              <w:jc w:val="both"/>
            </w:pPr>
            <w:r>
              <w:rPr>
                <w:rFonts w:ascii="仿宋_GB2312" w:hAnsi="仿宋_GB2312" w:cs="仿宋_GB2312" w:eastAsia="仿宋_GB2312"/>
                <w:sz w:val="24"/>
              </w:rPr>
              <w:t>2.2.3评论区氛围营造：通过置顶优质评论、发起话题讨论等方式提升用户参与感，塑造积极社区文化。</w:t>
            </w:r>
          </w:p>
          <w:p>
            <w:pPr>
              <w:pStyle w:val="null3"/>
              <w:jc w:val="both"/>
            </w:pPr>
            <w:r>
              <w:rPr>
                <w:rFonts w:ascii="仿宋_GB2312" w:hAnsi="仿宋_GB2312" w:cs="仿宋_GB2312" w:eastAsia="仿宋_GB2312"/>
                <w:sz w:val="24"/>
              </w:rPr>
              <w:t>3.短视频创作与传播技术需求</w:t>
            </w:r>
          </w:p>
          <w:p>
            <w:pPr>
              <w:pStyle w:val="null3"/>
              <w:ind w:firstLine="420"/>
              <w:jc w:val="both"/>
            </w:pPr>
            <w:r>
              <w:rPr>
                <w:rFonts w:ascii="仿宋_GB2312" w:hAnsi="仿宋_GB2312" w:cs="仿宋_GB2312" w:eastAsia="仿宋_GB2312"/>
                <w:sz w:val="24"/>
              </w:rPr>
              <w:t>3.1内容创作技术标准</w:t>
            </w:r>
          </w:p>
          <w:p>
            <w:pPr>
              <w:pStyle w:val="null3"/>
              <w:ind w:firstLine="420"/>
              <w:jc w:val="both"/>
            </w:pPr>
            <w:r>
              <w:rPr>
                <w:rFonts w:ascii="仿宋_GB2312" w:hAnsi="仿宋_GB2312" w:cs="仿宋_GB2312" w:eastAsia="仿宋_GB2312"/>
                <w:sz w:val="24"/>
              </w:rPr>
              <w:t>3.1.1风格对标：分析抖音、快手等平台热门视频的剪辑节奏、运镜手法、音乐搭配，形成可复用的创作模板。</w:t>
            </w:r>
          </w:p>
          <w:p>
            <w:pPr>
              <w:pStyle w:val="null3"/>
              <w:ind w:firstLine="420"/>
              <w:jc w:val="both"/>
            </w:pPr>
            <w:r>
              <w:rPr>
                <w:rFonts w:ascii="仿宋_GB2312" w:hAnsi="仿宋_GB2312" w:cs="仿宋_GB2312" w:eastAsia="仿宋_GB2312"/>
                <w:sz w:val="24"/>
              </w:rPr>
              <w:t>3.1.2主题合规性：内容需通过无偿献血公益宣传审核，避免敏感话题，确保正能量导向。</w:t>
            </w:r>
          </w:p>
          <w:p>
            <w:pPr>
              <w:pStyle w:val="null3"/>
              <w:ind w:firstLine="420"/>
              <w:jc w:val="both"/>
            </w:pPr>
            <w:r>
              <w:rPr>
                <w:rFonts w:ascii="仿宋_GB2312" w:hAnsi="仿宋_GB2312" w:cs="仿宋_GB2312" w:eastAsia="仿宋_GB2312"/>
                <w:sz w:val="24"/>
              </w:rPr>
              <w:t>3.2年轻化表达技术</w:t>
            </w:r>
          </w:p>
          <w:p>
            <w:pPr>
              <w:pStyle w:val="null3"/>
              <w:ind w:firstLine="420"/>
              <w:jc w:val="both"/>
            </w:pPr>
            <w:r>
              <w:rPr>
                <w:rFonts w:ascii="仿宋_GB2312" w:hAnsi="仿宋_GB2312" w:cs="仿宋_GB2312" w:eastAsia="仿宋_GB2312"/>
                <w:sz w:val="24"/>
              </w:rPr>
              <w:t>3.2.1语言风格：使用网络热词、口语化表达，结合无偿献血知识设计趣味科普段子。</w:t>
            </w:r>
          </w:p>
          <w:p>
            <w:pPr>
              <w:pStyle w:val="null3"/>
              <w:ind w:firstLine="420"/>
              <w:jc w:val="both"/>
            </w:pPr>
            <w:r>
              <w:rPr>
                <w:rFonts w:ascii="仿宋_GB2312" w:hAnsi="仿宋_GB2312" w:cs="仿宋_GB2312" w:eastAsia="仿宋_GB2312"/>
                <w:sz w:val="24"/>
              </w:rPr>
              <w:t>3.2.2视觉呈现：采用动态字幕、表情包、动画特效等增强趣味性，适配短视频平台用户偏好。</w:t>
            </w:r>
          </w:p>
          <w:p>
            <w:pPr>
              <w:pStyle w:val="null3"/>
              <w:ind w:firstLine="420"/>
              <w:jc w:val="both"/>
            </w:pPr>
            <w:r>
              <w:rPr>
                <w:rFonts w:ascii="仿宋_GB2312" w:hAnsi="仿宋_GB2312" w:cs="仿宋_GB2312" w:eastAsia="仿宋_GB2312"/>
                <w:sz w:val="24"/>
              </w:rPr>
              <w:t>3.2.3案例策划：挖掘真实献血者故事，通过情景再现、访谈等形式提升内容可信度与感染力。</w:t>
            </w:r>
          </w:p>
          <w:p>
            <w:pPr>
              <w:pStyle w:val="null3"/>
              <w:jc w:val="both"/>
            </w:pPr>
            <w:r>
              <w:rPr>
                <w:rFonts w:ascii="仿宋_GB2312" w:hAnsi="仿宋_GB2312" w:cs="仿宋_GB2312" w:eastAsia="仿宋_GB2312"/>
                <w:sz w:val="24"/>
              </w:rPr>
              <w:t>4.舆论动态监测与处置技术需求</w:t>
            </w:r>
          </w:p>
          <w:p>
            <w:pPr>
              <w:pStyle w:val="null3"/>
              <w:ind w:firstLine="420"/>
              <w:jc w:val="both"/>
            </w:pPr>
            <w:r>
              <w:rPr>
                <w:rFonts w:ascii="仿宋_GB2312" w:hAnsi="仿宋_GB2312" w:cs="仿宋_GB2312" w:eastAsia="仿宋_GB2312"/>
                <w:sz w:val="24"/>
              </w:rPr>
              <w:t>4.1.舆论动态监测系统。实时监测抖音的舆论动态动态，包括账号相关视频、话题讨论、用户评论。</w:t>
            </w:r>
          </w:p>
          <w:p>
            <w:pPr>
              <w:pStyle w:val="null3"/>
              <w:ind w:firstLine="420"/>
              <w:jc w:val="both"/>
            </w:pPr>
            <w:r>
              <w:rPr>
                <w:rFonts w:ascii="仿宋_GB2312" w:hAnsi="仿宋_GB2312" w:cs="仿宋_GB2312" w:eastAsia="仿宋_GB2312"/>
                <w:sz w:val="24"/>
              </w:rPr>
              <w:t>4.2舆论动态处置流程。分级响应机制：根据舆论动态严重程度制定处置方案，2小时内响应并处置完毕。</w:t>
            </w:r>
          </w:p>
          <w:p>
            <w:pPr>
              <w:pStyle w:val="null3"/>
              <w:ind w:firstLine="420"/>
              <w:jc w:val="both"/>
            </w:pPr>
            <w:r>
              <w:rPr>
                <w:rFonts w:ascii="仿宋_GB2312" w:hAnsi="仿宋_GB2312" w:cs="仿宋_GB2312" w:eastAsia="仿宋_GB2312"/>
                <w:sz w:val="24"/>
              </w:rPr>
              <w:t>4.2.2应急预案库：预设常见舆论动态场景（如误解献血安全、恶意攻击）的标准化回应模板。</w:t>
            </w:r>
          </w:p>
          <w:p>
            <w:pPr>
              <w:pStyle w:val="null3"/>
              <w:jc w:val="both"/>
            </w:pPr>
            <w:r>
              <w:rPr>
                <w:rFonts w:ascii="仿宋_GB2312" w:hAnsi="仿宋_GB2312" w:cs="仿宋_GB2312" w:eastAsia="仿宋_GB2312"/>
                <w:sz w:val="24"/>
              </w:rPr>
              <w:t>四、</w:t>
            </w:r>
            <w:r>
              <w:rPr>
                <w:rFonts w:ascii="仿宋_GB2312" w:hAnsi="仿宋_GB2312" w:cs="仿宋_GB2312" w:eastAsia="仿宋_GB2312"/>
                <w:sz w:val="24"/>
              </w:rPr>
              <w:t>服务要求</w:t>
            </w:r>
          </w:p>
          <w:p>
            <w:pPr>
              <w:pStyle w:val="null3"/>
              <w:ind w:firstLine="240"/>
              <w:jc w:val="both"/>
            </w:pPr>
            <w:r>
              <w:rPr>
                <w:rFonts w:ascii="仿宋_GB2312" w:hAnsi="仿宋_GB2312" w:cs="仿宋_GB2312" w:eastAsia="仿宋_GB2312"/>
                <w:sz w:val="24"/>
              </w:rPr>
              <w:t>1.</w:t>
            </w:r>
            <w:r>
              <w:rPr>
                <w:rFonts w:ascii="仿宋_GB2312" w:hAnsi="仿宋_GB2312" w:cs="仿宋_GB2312" w:eastAsia="仿宋_GB2312"/>
                <w:sz w:val="24"/>
              </w:rPr>
              <w:t>供应商团队能力</w:t>
            </w:r>
            <w:r>
              <w:rPr>
                <w:rFonts w:ascii="仿宋_GB2312" w:hAnsi="仿宋_GB2312" w:cs="仿宋_GB2312" w:eastAsia="仿宋_GB2312"/>
                <w:sz w:val="24"/>
              </w:rPr>
              <w:t>:配备专业编导、剪辑师、运营人员，需提供过往同类项目案例及数据成果。核心成员需熟悉医疗</w:t>
            </w:r>
            <w:r>
              <w:rPr>
                <w:rFonts w:ascii="仿宋_GB2312" w:hAnsi="仿宋_GB2312" w:cs="仿宋_GB2312" w:eastAsia="仿宋_GB2312"/>
                <w:sz w:val="24"/>
              </w:rPr>
              <w:t>公益领域内容创作规范，具备无偿献血相关项目经验者优先</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2.交付周期</w:t>
            </w:r>
          </w:p>
          <w:p>
            <w:pPr>
              <w:pStyle w:val="null3"/>
              <w:ind w:firstLine="420"/>
              <w:jc w:val="both"/>
            </w:pPr>
            <w:r>
              <w:rPr>
                <w:rFonts w:ascii="仿宋_GB2312" w:hAnsi="仿宋_GB2312" w:cs="仿宋_GB2312" w:eastAsia="仿宋_GB2312"/>
                <w:sz w:val="24"/>
              </w:rPr>
              <w:t>2.1账号搭建：合同签订后5个工作日内完成。</w:t>
            </w:r>
          </w:p>
          <w:p>
            <w:pPr>
              <w:pStyle w:val="null3"/>
              <w:ind w:firstLine="420"/>
              <w:jc w:val="both"/>
            </w:pPr>
            <w:r>
              <w:rPr>
                <w:rFonts w:ascii="仿宋_GB2312" w:hAnsi="仿宋_GB2312" w:cs="仿宋_GB2312" w:eastAsia="仿宋_GB2312"/>
                <w:sz w:val="24"/>
              </w:rPr>
              <w:t>2.2短视频制作：按月度交付，每月25日前提交下月排期表及样片。</w:t>
            </w:r>
          </w:p>
          <w:p>
            <w:pPr>
              <w:pStyle w:val="null3"/>
              <w:ind w:firstLine="240"/>
              <w:jc w:val="both"/>
            </w:pPr>
            <w:r>
              <w:rPr>
                <w:rFonts w:ascii="仿宋_GB2312" w:hAnsi="仿宋_GB2312" w:cs="仿宋_GB2312" w:eastAsia="仿宋_GB2312"/>
                <w:sz w:val="24"/>
              </w:rPr>
              <w:t>2.3运营报告：每月5日前提供上月数据报告及优化建议。</w:t>
            </w:r>
          </w:p>
          <w:p>
            <w:pPr>
              <w:pStyle w:val="null3"/>
              <w:ind w:firstLine="240"/>
              <w:jc w:val="both"/>
            </w:pPr>
            <w:r>
              <w:rPr>
                <w:rFonts w:ascii="仿宋_GB2312" w:hAnsi="仿宋_GB2312" w:cs="仿宋_GB2312" w:eastAsia="仿宋_GB2312"/>
                <w:sz w:val="24"/>
              </w:rPr>
              <w:t>3.技术工具：需使用正版剪辑软件、数据分析工具（如抖音罗盘、新榜）。提供舆论动态监测系统后台访问权限，供甲方实时查看数据。</w:t>
            </w:r>
          </w:p>
          <w:p>
            <w:pPr>
              <w:pStyle w:val="null3"/>
              <w:jc w:val="both"/>
            </w:pPr>
            <w:r>
              <w:rPr>
                <w:rFonts w:ascii="仿宋_GB2312" w:hAnsi="仿宋_GB2312" w:cs="仿宋_GB2312" w:eastAsia="仿宋_GB2312"/>
                <w:sz w:val="24"/>
              </w:rPr>
              <w:t>4.合规性：严格遵守《中华人民共和国网络安全法》《中华人民共和国数据安全法》及抖音平台规则，确保内容合法合规。所有创作素材需获得合法授权，避免侵权风险。</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成本控制</w:t>
            </w:r>
            <w:r>
              <w:rPr>
                <w:rFonts w:ascii="仿宋_GB2312" w:hAnsi="仿宋_GB2312" w:cs="仿宋_GB2312" w:eastAsia="仿宋_GB2312"/>
                <w:sz w:val="24"/>
              </w:rPr>
              <w:t>：</w:t>
            </w:r>
            <w:r>
              <w:rPr>
                <w:rFonts w:ascii="仿宋_GB2312" w:hAnsi="仿宋_GB2312" w:cs="仿宋_GB2312" w:eastAsia="仿宋_GB2312"/>
                <w:sz w:val="24"/>
              </w:rPr>
              <w:t>提供合理的报价方案，在保证视频质量的前提下，有效控制制作成本。</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成功案例与经验</w:t>
            </w:r>
            <w:r>
              <w:rPr>
                <w:rFonts w:ascii="仿宋_GB2312" w:hAnsi="仿宋_GB2312" w:cs="仿宋_GB2312" w:eastAsia="仿宋_GB2312"/>
                <w:sz w:val="24"/>
              </w:rPr>
              <w:t>：</w:t>
            </w:r>
            <w:r>
              <w:rPr>
                <w:rFonts w:ascii="仿宋_GB2312" w:hAnsi="仿宋_GB2312" w:cs="仿宋_GB2312" w:eastAsia="仿宋_GB2312"/>
                <w:sz w:val="24"/>
              </w:rPr>
              <w:t>具有丰富的</w:t>
            </w:r>
            <w:r>
              <w:rPr>
                <w:rFonts w:ascii="仿宋_GB2312" w:hAnsi="仿宋_GB2312" w:cs="仿宋_GB2312" w:eastAsia="仿宋_GB2312"/>
                <w:sz w:val="24"/>
              </w:rPr>
              <w:t>宣传片拍摄、</w:t>
            </w:r>
            <w:r>
              <w:rPr>
                <w:rFonts w:ascii="仿宋_GB2312" w:hAnsi="仿宋_GB2312" w:cs="仿宋_GB2312" w:eastAsia="仿宋_GB2312"/>
                <w:sz w:val="24"/>
              </w:rPr>
              <w:t>动画短视频制作经验，尤其是</w:t>
            </w:r>
            <w:r>
              <w:rPr>
                <w:rFonts w:ascii="仿宋_GB2312" w:hAnsi="仿宋_GB2312" w:cs="仿宋_GB2312" w:eastAsia="仿宋_GB2312"/>
                <w:sz w:val="24"/>
              </w:rPr>
              <w:t>在公益、医疗等</w:t>
            </w:r>
            <w:r>
              <w:rPr>
                <w:rFonts w:ascii="仿宋_GB2312" w:hAnsi="仿宋_GB2312" w:cs="仿宋_GB2312" w:eastAsia="仿宋_GB2312"/>
                <w:sz w:val="24"/>
              </w:rPr>
              <w:t>领域有成功的案例。</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1.抖音官方账号搭建技术需求</w:t>
            </w:r>
          </w:p>
          <w:p>
            <w:pPr>
              <w:pStyle w:val="null3"/>
              <w:jc w:val="both"/>
            </w:pPr>
            <w:r>
              <w:rPr>
                <w:rFonts w:ascii="仿宋_GB2312" w:hAnsi="仿宋_GB2312" w:cs="仿宋_GB2312" w:eastAsia="仿宋_GB2312"/>
                <w:sz w:val="24"/>
              </w:rPr>
              <w:t>1.1账号注册与认证。供应商需协助完成抖音官方账号的注册流程，包括企业资质审核、账号信息填写（头像、昵称、简介等）。</w:t>
            </w:r>
          </w:p>
          <w:p>
            <w:pPr>
              <w:pStyle w:val="null3"/>
            </w:pPr>
            <w:r>
              <w:rPr>
                <w:rFonts w:ascii="仿宋_GB2312" w:hAnsi="仿宋_GB2312" w:cs="仿宋_GB2312" w:eastAsia="仿宋_GB2312"/>
                <w:sz w:val="24"/>
              </w:rPr>
              <w:t>1.2完成官方认证（蓝V认证），确保账号权威性与信任度</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自合同签订之日起1年内完成所有相关服务。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西安市中心血站指定地点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服务结束后，供应商须提供相关的验收资料，提出书面验收申请，采购人组织验收。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双方约定按4:5:1比例分期支付，具体支付方式如下： （1）预付款：合同签订后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进度款：乙方完成项目主体内容并交付，经甲方初步验收合格，且乙方提交阶段性验收单及服务总结报告后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尾款：项目整体交付完毕、经甲方最终验收合格，乙方提交最终验收单及服务总结报告后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按采购合同条款执行。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专门面向中小企业采购。采购标的对应的中小企业划分标准所属行业为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 2、因3.3.5支付约定为固定格式，本项目支付方式以此为准：双方约定按4:5:1比例分期支付，具体支付方式如下：（1）预付款：合同签订后5个工作日内，甲方向乙方支付合同总价款的40%，作为项目启动预付款，乙方收款后按约定开展工作。（2）进度款：乙方完成项目主体内容并交付，经甲方初步验收合格，且乙方提交阶段性验收单及服务总结报告后5个工作日内，甲方向乙方支付合同总价款的50%。（3）尾款：项目整体交付完毕、经甲方最终验收合格，乙方提交最终验收单及服务总结报告后5个工作日内，甲方向乙方支付合同总价款的10%。乙方应在甲方支付各笔款项前，提供符合甲方财务要求的等额合法有效票据，否则甲方有权顺延付款且不承担违约责任。甲方以银行转账方式支付至乙方指定账户，乙方账户信息如有变更，需提前3个工作日书面通知甲方。（4）付款方式为银行转账。（5）若项目阶段性或最终成果验收不合格，乙方应在甲方要求的期限内无偿整改至合格；逾期未整改或整改后仍不合格的，甲方有权暂缓支付相应款项，直至合格为止，由此造成的一切损失由乙方承担。 3、需要落实的政府采购政策：（1）《国务院办公厅关于建立政府强制采购节能产品制度的通知》（国办发〔2007〕51号）；（2）《财政部司法部关于政府采购支持监狱企业发展有关问题的通知》（财库〔2014〕68号）；（3）《财政部、民政部、中国残疾人联合会关于促进残疾人就业政府采购政策的通知》（财库〔2017〕141号）；（4）《财政部发展改革委生态环境部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 4、异常低价投标（响应）审查程序 4.1、政府采购评审中出现下列情形之一的，评审委员会应当启动异常低价投标（响应）审查程序： 4.1.1.投标（响应）报价低于全部通过符合性审查供应商投标（响应）报价平均值50%的，即投标（响应）报价&lt;全部通过符合性审查供应商投标（响应）报价平均值×50%； 4.1.2.投标（响应）报价低于通过符合性审查的次低报价供应商投标（响应）报价50%的，即投标（响应）报价&lt;通过符合性审查的次低报价供应商投标（响应）报价×50%； 4.1.3.投标（响应）报价低于采购项目最高限价45%的，即投标（响应）报价&lt;采购项目最高限价×45%； 4.1.4.评审委员会基于专业判断，认为供应商报价过低，有可能影响产品质量或者不能诚信履约的其他情形。 4.2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 自然人提供身份证明文件）； 2、具有良好的商业信誉和健全的财务会计制度，提供2024年度或2025年度经审计的财务报告，或其磋商前六个月内基本户开户银行出具的资信证明或担保机构出具的投标担保函。 3、具有履行合同所必需的设备和专业技术能力的书面声明； 4、有依法缴纳税收和社会保障资金的良好记录（提供磋商前12个月内任一月份的社保和缴纳税收的证明，依法不需要缴纳社会保障资金、免税或无须缴纳税款的供应商，应提供相关证明文件)； 5、参加政府采购活动前3年内在经营活动中没有 重大违法记录的书面声明。</w:t>
            </w:r>
          </w:p>
        </w:tc>
        <w:tc>
          <w:tcPr>
            <w:tcW w:type="dxa" w:w="1661"/>
          </w:tcPr>
          <w:p>
            <w:pPr>
              <w:pStyle w:val="null3"/>
            </w:pPr>
            <w:r>
              <w:rPr>
                <w:rFonts w:ascii="仿宋_GB2312" w:hAnsi="仿宋_GB2312" w:cs="仿宋_GB2312" w:eastAsia="仿宋_GB2312"/>
              </w:rPr>
              <w:t>相关资格证明.docx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中小企业声明函.docx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法定代表人/负责人身份证明或法定代表人/负责人授权书</w:t>
            </w:r>
          </w:p>
        </w:tc>
        <w:tc>
          <w:tcPr>
            <w:tcW w:type="dxa" w:w="3322"/>
          </w:tcPr>
          <w:p>
            <w:pPr>
              <w:pStyle w:val="null3"/>
            </w:pPr>
            <w:r>
              <w:rPr>
                <w:rFonts w:ascii="仿宋_GB2312" w:hAnsi="仿宋_GB2312" w:cs="仿宋_GB2312" w:eastAsia="仿宋_GB2312"/>
              </w:rPr>
              <w:t>法定代表人/负责人直接参加的，需递交《法定代表人/负责人身份证明》；法定代表人/负责人授权代表参加的，需递交《法定代表人/负责人授权书》及授权代表响应文件递交截止时间前近三个月（2026年2月1日至今）社会保险缴纳证明。</w:t>
            </w:r>
          </w:p>
        </w:tc>
        <w:tc>
          <w:tcPr>
            <w:tcW w:type="dxa" w:w="1661"/>
          </w:tcPr>
          <w:p>
            <w:pPr>
              <w:pStyle w:val="null3"/>
            </w:pPr>
            <w:r>
              <w:rPr>
                <w:rFonts w:ascii="仿宋_GB2312" w:hAnsi="仿宋_GB2312" w:cs="仿宋_GB2312" w:eastAsia="仿宋_GB2312"/>
              </w:rPr>
              <w:t>相关资格证明.docx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本项目不接受西安市中心血站职工及其亲属投资开办的企业投标，提供承诺书。</w:t>
            </w:r>
          </w:p>
        </w:tc>
        <w:tc>
          <w:tcPr>
            <w:tcW w:type="dxa" w:w="1661"/>
          </w:tcPr>
          <w:p>
            <w:pPr>
              <w:pStyle w:val="null3"/>
            </w:pPr>
            <w:r>
              <w:rPr>
                <w:rFonts w:ascii="仿宋_GB2312" w:hAnsi="仿宋_GB2312" w:cs="仿宋_GB2312" w:eastAsia="仿宋_GB2312"/>
              </w:rPr>
              <w:t>相关资格证明.docx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质量保证承诺书</w:t>
            </w:r>
          </w:p>
        </w:tc>
        <w:tc>
          <w:tcPr>
            <w:tcW w:type="dxa" w:w="3322"/>
          </w:tcPr>
          <w:p>
            <w:pPr>
              <w:pStyle w:val="null3"/>
            </w:pPr>
            <w:r>
              <w:rPr>
                <w:rFonts w:ascii="仿宋_GB2312" w:hAnsi="仿宋_GB2312" w:cs="仿宋_GB2312" w:eastAsia="仿宋_GB2312"/>
              </w:rPr>
              <w:t>供应商提供质量保证承诺书。</w:t>
            </w:r>
          </w:p>
        </w:tc>
        <w:tc>
          <w:tcPr>
            <w:tcW w:type="dxa" w:w="1661"/>
          </w:tcPr>
          <w:p>
            <w:pPr>
              <w:pStyle w:val="null3"/>
            </w:pPr>
            <w:r>
              <w:rPr>
                <w:rFonts w:ascii="仿宋_GB2312" w:hAnsi="仿宋_GB2312" w:cs="仿宋_GB2312" w:eastAsia="仿宋_GB2312"/>
              </w:rPr>
              <w:t>相关资格证明.docx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供应商提供非联合体投标承诺书</w:t>
            </w:r>
          </w:p>
        </w:tc>
        <w:tc>
          <w:tcPr>
            <w:tcW w:type="dxa" w:w="1661"/>
          </w:tcPr>
          <w:p>
            <w:pPr>
              <w:pStyle w:val="null3"/>
            </w:pPr>
            <w:r>
              <w:rPr>
                <w:rFonts w:ascii="仿宋_GB2312" w:hAnsi="仿宋_GB2312" w:cs="仿宋_GB2312" w:eastAsia="仿宋_GB2312"/>
              </w:rPr>
              <w:t>相关资格证明.docx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 网站（www.creditchina.gov.cn ）中列入失信被执行人和重大税收违法失信主体的供应商，不得为中国政府采购网（www.ccgp.gov.cn ）政府采购严重违法失信行为记录名单中被财政部门禁止参加政府采购活动的供应商。采购人或采购代理机构在磋商截止后当日通过“信用中国” 网站(www. creditchina. gov.cn)、中国政府采购网 (www.ccgp.gov.cn)查询相关主体信用记录网页截图保存；</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报价唯一，且没有高于采购预算或磋商文件规定的最高限价。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满足磋商文件商务要求</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满足磋商文件技术要求</w:t>
            </w:r>
          </w:p>
        </w:tc>
        <w:tc>
          <w:tcPr>
            <w:tcW w:type="dxa" w:w="1661"/>
          </w:tcPr>
          <w:p>
            <w:pPr>
              <w:pStyle w:val="null3"/>
            </w:pPr>
            <w:r>
              <w:rPr>
                <w:rFonts w:ascii="仿宋_GB2312" w:hAnsi="仿宋_GB2312" w:cs="仿宋_GB2312" w:eastAsia="仿宋_GB2312"/>
              </w:rPr>
              <w:t>技术条款偏离表.docx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磋商文件实质性要求</w:t>
            </w:r>
          </w:p>
        </w:tc>
        <w:tc>
          <w:tcPr>
            <w:tcW w:type="dxa" w:w="3322"/>
          </w:tcPr>
          <w:p>
            <w:pPr>
              <w:pStyle w:val="null3"/>
            </w:pPr>
            <w:r>
              <w:rPr>
                <w:rFonts w:ascii="仿宋_GB2312" w:hAnsi="仿宋_GB2312" w:cs="仿宋_GB2312" w:eastAsia="仿宋_GB2312"/>
              </w:rPr>
              <w:t>满足磋商文件实质性要求，提供相关证明材料</w:t>
            </w:r>
          </w:p>
        </w:tc>
        <w:tc>
          <w:tcPr>
            <w:tcW w:type="dxa" w:w="1661"/>
          </w:tcPr>
          <w:p>
            <w:pPr>
              <w:pStyle w:val="null3"/>
            </w:pPr>
            <w:r>
              <w:rPr>
                <w:rFonts w:ascii="仿宋_GB2312" w:hAnsi="仿宋_GB2312" w:cs="仿宋_GB2312" w:eastAsia="仿宋_GB2312"/>
              </w:rPr>
              <w:t>技术条款偏离表.docx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供应商针对本项目提供服务方案，内容包括：①服务理念及目标；②服务内容及标准；③总体服务方案。 二、评审标准 1、完整性：方案须全面合理，架构完整对评审内容中的各项要求有详细描述； 2、可实施性：切合本项目实际情况，实施步骤清晰、合理； 3、针对性：方案能够紧扣本项目实际情况，内容科学合理。 三、赋分依据（满分9分） 以上内容均应专门针对本项目实际需求编制，方案内容完整、可实施性强的，每一项得3分。若每项内容中存在瑕疵，每出现一处瑕疵扣0.5分，扣完为止。“瑕疵”指内容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实施方案 一、评审内容 供应商针对本项目提供服务实施方案，内容包括：①策划方案；②宣传方案；③内容创作方案；④运营维护方案；⑤视觉呈现方案。 二、评审标准 1、完整性：方案须全面合理，架构完整对评审内容中的各项要求有详细描述； 2、可实施性：切合本项目实际情况，实施步骤清晰、合理； 3、针对性：方案能够紧扣本项目实际情况，内容科学合理。 三、赋分依据（满分15分） 以上内容均应专门针对本项目实际需求编制，方案内容完整、可实施性强的，每一项得3分。若每项内容中存在瑕疵，每出现一处瑕疵扣0.5分，扣完为止。“瑕疵”指内容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一、评审内容 供应商针对本项目提供服务保障措施，内容包括：①组织保障措施；②进度保障措施；③质量管理保障措施。 二、评审标准 1、完整性：方案须全面合理，架构完整对评审内容中的各项要求有详细描述； 2、可实施性：切合本项目实际情况，实施步骤清晰、合理； 3、针对性：方案能够紧扣本项目实际情况，内容科学合理。 三、赋分依据（满分12分） 以上内容均应专门针对本项目实际需求编制，方案内容完整、可实施性强的，每一项得4分。若每项内容中存在瑕疵，每出现一处瑕疵扣0.5分，扣完为止。“瑕疵”指内容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服务团队人员配置</w:t>
            </w:r>
          </w:p>
        </w:tc>
        <w:tc>
          <w:tcPr>
            <w:tcW w:type="dxa" w:w="2492"/>
          </w:tcPr>
          <w:p>
            <w:pPr>
              <w:pStyle w:val="null3"/>
            </w:pPr>
            <w:r>
              <w:rPr>
                <w:rFonts w:ascii="仿宋_GB2312" w:hAnsi="仿宋_GB2312" w:cs="仿宋_GB2312" w:eastAsia="仿宋_GB2312"/>
              </w:rPr>
              <w:t>一、评审内容 供应商针对本项目特点提供服务团队人员配置，内容包含:①人员配置清单；②岗位分工、职责；提供相关证明资料（包括但不限于人员姓名、工作职务及职能、身份证、工作经验等）。 二、评审标准 1、完整性: 方案须全面合理，架构完整对评审内容中的各项要求有详细描述； 2、可实施性：切合本项目实际情况，实施步骤清晰、合理； 3、针对性：方案能够紧扣项目实际情况，内容科学合理。 三、赋分标准(满分12分) 以上内容均应专门针对本项目实际需求编制，方案内容完整、可实施性强的，每一项得6分。若每项内容中存在瑕疵，每出现一处瑕疵扣0.5分，扣完为止。“瑕疵”指内容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结合本项目的实际，供应商提供服务承诺以及响应方案，内容包含：①确保工作有效开展的服务质量保障；②服务承诺（包括但不限于整个项目服务期限内的质量、人员到位情况、服务响应时间、配合程度）。 二、评审标准 1、完整性：内容必须全面，对评审内容中的各项要求有详细描述； 2、可实施性：切合项目具体情况，提出责任明确、要求具体的方案； 3、针对性：方案能够紧扣项目实际情况，内容科学合理。 三、赋分标准（满分10分） 以上内容均应专门针对本项目实际需求编制，方案内容完整、可实施性强的，每一项得5分。若每项内容中存在瑕疵，每出现一处瑕疵扣0.5分，扣完为止。“瑕疵”指内容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结合本项目的实际，供应商提供的应急预案包括但不限于舆论监测与处置方案等。 二、评审标准 1、完整性：内容必须全面，对评审内容中的各项要求有详细描述； 2、可实施性：切合项目具体情况，提出责任明确、要求具体的方案； 3、针对性：方案能够紧扣项目实际情况，内容科学合理。 三、赋分标准（满分7分） 以上内容均应专门针对本项目实际需求编制，方案内容完整、可实施性强的得7分。若内容中存在瑕疵，每出现一处瑕疵扣0.5分，扣完为止。“瑕疵”指内容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进度计划与安排</w:t>
            </w:r>
          </w:p>
        </w:tc>
        <w:tc>
          <w:tcPr>
            <w:tcW w:type="dxa" w:w="2492"/>
          </w:tcPr>
          <w:p>
            <w:pPr>
              <w:pStyle w:val="null3"/>
            </w:pPr>
            <w:r>
              <w:rPr>
                <w:rFonts w:ascii="仿宋_GB2312" w:hAnsi="仿宋_GB2312" w:cs="仿宋_GB2312" w:eastAsia="仿宋_GB2312"/>
              </w:rPr>
              <w:t>一、评审内容 结合本项目的实际，供应商提供服务进度计划与安排，内容包含：①工作进度计划；②确保工作时效性的安排。 二、评审标准 1、完整性：内容必须全面，对评审内容中的各项要求有详细描述； 2、可实施性：切合项目具体情况，提出责任明确、要求具体的方案； 3、针对性：方案能够紧扣项目实际情况，内容科学合理。 三、赋分标准（满分10分） 以上内容均应专门针对本项目实际需求编制，方案内容完整、可实施性强的，每一项得5分。若每项内容中存在瑕疵，每出现一处瑕疵扣0.5分，扣完为止。“瑕疵”指内容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提供2023年1月1日至今供应商承担的同类项目业绩（以响应文件中提供的完整合同复印件为准），每提供1份得1分，最多得5分。未提供或提供材料不全不得分。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 的供应商的价格为磋商基准价，其价格分为满分。其他供应商的价格分统一按照下列公式计算：磋商报价得分=（磋商基准价/最后磋商报价）×20；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详见附件：相关资格证明.docx</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详见附件：技术条款偏离表.docx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