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版本号：DQA-2026021-ZB20260414001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建设用地土壤污染状况调查评估评审项目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DQA-2026021-ZB</w:t>
      </w:r>
      <w:r>
        <w:br/>
      </w:r>
      <w:r>
        <w:br/>
      </w:r>
      <w:r>
        <w:br/>
      </w:r>
    </w:p>
    <w:p>
      <w:pPr>
        <w:pStyle w:val="null3"/>
        <w:jc w:val="center"/>
        <w:outlineLvl w:val="2"/>
      </w:pPr>
      <w:r>
        <w:rPr>
          <w:rFonts w:ascii="仿宋_GB2312" w:hAnsi="仿宋_GB2312" w:cs="仿宋_GB2312" w:eastAsia="仿宋_GB2312"/>
          <w:sz w:val="28"/>
          <w:b/>
        </w:rPr>
        <w:t>西安市环境保护科学研究院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西安市环境保护科学研究院</w:t>
      </w:r>
      <w:r>
        <w:rPr>
          <w:rFonts w:ascii="仿宋_GB2312" w:hAnsi="仿宋_GB2312" w:cs="仿宋_GB2312" w:eastAsia="仿宋_GB2312"/>
        </w:rPr>
        <w:t>委托，拟对</w:t>
      </w:r>
      <w:r>
        <w:rPr>
          <w:rFonts w:ascii="仿宋_GB2312" w:hAnsi="仿宋_GB2312" w:cs="仿宋_GB2312" w:eastAsia="仿宋_GB2312"/>
        </w:rPr>
        <w:t>建设用地土壤污染状况调查评估评审项目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DQA-2026021-ZB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建设用地土壤污染状况调查评估评审项目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本项目主要完成以下工作：2026年建设用地土壤污染状况调查评估项目，均为第一阶段土壤污染状况调查，约地块300宗。具体内容及要求详见第三章采购需求内容。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采购包1（建设用地土壤污染状况调查评估评审项目（1包））：属于专门面向中小企业采购。</w:t>
      </w:r>
    </w:p>
    <w:p>
      <w:pPr>
        <w:pStyle w:val="null3"/>
      </w:pPr>
      <w:r>
        <w:rPr>
          <w:rFonts w:ascii="仿宋_GB2312" w:hAnsi="仿宋_GB2312" w:cs="仿宋_GB2312" w:eastAsia="仿宋_GB2312"/>
        </w:rPr>
        <w:t>采购包2（建设用地土壤污染状况调查评估评审项目（2包））：属于专门面向中小企业采购。</w:t>
      </w:r>
    </w:p>
    <w:p>
      <w:pPr>
        <w:pStyle w:val="null3"/>
      </w:pPr>
      <w:r>
        <w:rPr>
          <w:rFonts w:ascii="仿宋_GB2312" w:hAnsi="仿宋_GB2312" w:cs="仿宋_GB2312" w:eastAsia="仿宋_GB2312"/>
        </w:rPr>
        <w:t>采购包3（建设用地土壤污染状况调查评估评审项目（3包））：属于专门面向中小企业采购。</w:t>
      </w:r>
    </w:p>
    <w:p>
      <w:pPr>
        <w:pStyle w:val="null3"/>
      </w:pPr>
      <w:r>
        <w:rPr>
          <w:rFonts w:ascii="仿宋_GB2312" w:hAnsi="仿宋_GB2312" w:cs="仿宋_GB2312" w:eastAsia="仿宋_GB2312"/>
        </w:rPr>
        <w:t>采购包4（建设用地土壤污染状况调查评估评审项目（4包））：属于专门面向中小企业采购。</w:t>
      </w:r>
    </w:p>
    <w:p>
      <w:pPr>
        <w:pStyle w:val="null3"/>
      </w:pPr>
      <w:r>
        <w:rPr>
          <w:rFonts w:ascii="仿宋_GB2312" w:hAnsi="仿宋_GB2312" w:cs="仿宋_GB2312" w:eastAsia="仿宋_GB2312"/>
        </w:rPr>
        <w:t>采购包5（建设用地土壤污染状况调查评估评审项目（5包））：属于专门面向中小企业采购。</w:t>
      </w:r>
    </w:p>
    <w:p>
      <w:pPr>
        <w:pStyle w:val="null3"/>
      </w:pPr>
      <w:r>
        <w:rPr>
          <w:rFonts w:ascii="仿宋_GB2312" w:hAnsi="仿宋_GB2312" w:cs="仿宋_GB2312" w:eastAsia="仿宋_GB2312"/>
        </w:rPr>
        <w:t>采购包6（建设用地土壤污染状况调查评估评审项目（6包））：属于专门面向中小企业采购。</w:t>
      </w:r>
    </w:p>
    <w:p>
      <w:pPr>
        <w:pStyle w:val="null3"/>
      </w:pPr>
      <w:r>
        <w:rPr>
          <w:rFonts w:ascii="仿宋_GB2312" w:hAnsi="仿宋_GB2312" w:cs="仿宋_GB2312" w:eastAsia="仿宋_GB2312"/>
        </w:rPr>
        <w:t>采购包7（建设用地土壤污染状况调查评估评审项目（7包））：属于专门面向中小企业采购。</w:t>
      </w:r>
    </w:p>
    <w:p>
      <w:pPr>
        <w:pStyle w:val="null3"/>
      </w:pPr>
      <w:r>
        <w:rPr>
          <w:rFonts w:ascii="仿宋_GB2312" w:hAnsi="仿宋_GB2312" w:cs="仿宋_GB2312" w:eastAsia="仿宋_GB2312"/>
        </w:rPr>
        <w:t>采购包8（建设用地土壤污染状况调查评估评审项目（8包））：属于专门面向中小企业采购。</w:t>
      </w:r>
    </w:p>
    <w:p>
      <w:pPr>
        <w:pStyle w:val="null3"/>
      </w:pPr>
      <w:r>
        <w:rPr>
          <w:rFonts w:ascii="仿宋_GB2312" w:hAnsi="仿宋_GB2312" w:cs="仿宋_GB2312" w:eastAsia="仿宋_GB2312"/>
        </w:rPr>
        <w:t>采购包9（建设用地土壤污染状况调查评估评审项目（9包））：属于专门面向中小企业采购。</w:t>
      </w:r>
    </w:p>
    <w:p>
      <w:pPr>
        <w:pStyle w:val="null3"/>
      </w:pPr>
      <w:r>
        <w:rPr>
          <w:rFonts w:ascii="仿宋_GB2312" w:hAnsi="仿宋_GB2312" w:cs="仿宋_GB2312" w:eastAsia="仿宋_GB2312"/>
        </w:rPr>
        <w:t>采购包10（建设用地土壤污染状况调查评估评审项目（10包））：属于专门面向中小企业采购。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西安市环境保护科学研究院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西安市曲江新区雁南五路环保大厦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029-87628203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采购包2：1,200,000.00元</w:t>
            </w:r>
          </w:p>
          <w:p>
            <w:pPr>
              <w:pStyle w:val="null3"/>
            </w:pPr>
            <w:r>
              <w:rPr>
                <w:rFonts w:ascii="仿宋_GB2312" w:hAnsi="仿宋_GB2312" w:cs="仿宋_GB2312" w:eastAsia="仿宋_GB2312"/>
              </w:rPr>
              <w:t>采购包3：1,200,000.00元</w:t>
            </w:r>
          </w:p>
          <w:p>
            <w:pPr>
              <w:pStyle w:val="null3"/>
            </w:pPr>
            <w:r>
              <w:rPr>
                <w:rFonts w:ascii="仿宋_GB2312" w:hAnsi="仿宋_GB2312" w:cs="仿宋_GB2312" w:eastAsia="仿宋_GB2312"/>
              </w:rPr>
              <w:t>采购包4：1,200,000.00元</w:t>
            </w:r>
          </w:p>
          <w:p>
            <w:pPr>
              <w:pStyle w:val="null3"/>
            </w:pPr>
            <w:r>
              <w:rPr>
                <w:rFonts w:ascii="仿宋_GB2312" w:hAnsi="仿宋_GB2312" w:cs="仿宋_GB2312" w:eastAsia="仿宋_GB2312"/>
              </w:rPr>
              <w:t>采购包5：1,200,000.00元</w:t>
            </w:r>
          </w:p>
          <w:p>
            <w:pPr>
              <w:pStyle w:val="null3"/>
            </w:pPr>
            <w:r>
              <w:rPr>
                <w:rFonts w:ascii="仿宋_GB2312" w:hAnsi="仿宋_GB2312" w:cs="仿宋_GB2312" w:eastAsia="仿宋_GB2312"/>
              </w:rPr>
              <w:t>采购包6：1,200,000.00元</w:t>
            </w:r>
          </w:p>
          <w:p>
            <w:pPr>
              <w:pStyle w:val="null3"/>
            </w:pPr>
            <w:r>
              <w:rPr>
                <w:rFonts w:ascii="仿宋_GB2312" w:hAnsi="仿宋_GB2312" w:cs="仿宋_GB2312" w:eastAsia="仿宋_GB2312"/>
              </w:rPr>
              <w:t>采购包7：1,200,000.00元</w:t>
            </w:r>
          </w:p>
          <w:p>
            <w:pPr>
              <w:pStyle w:val="null3"/>
            </w:pPr>
            <w:r>
              <w:rPr>
                <w:rFonts w:ascii="仿宋_GB2312" w:hAnsi="仿宋_GB2312" w:cs="仿宋_GB2312" w:eastAsia="仿宋_GB2312"/>
              </w:rPr>
              <w:t>采购包8：1,200,000.00元</w:t>
            </w:r>
          </w:p>
          <w:p>
            <w:pPr>
              <w:pStyle w:val="null3"/>
            </w:pPr>
            <w:r>
              <w:rPr>
                <w:rFonts w:ascii="仿宋_GB2312" w:hAnsi="仿宋_GB2312" w:cs="仿宋_GB2312" w:eastAsia="仿宋_GB2312"/>
              </w:rPr>
              <w:t>采购包9：1,200,000.00元</w:t>
            </w:r>
          </w:p>
          <w:p>
            <w:pPr>
              <w:pStyle w:val="null3"/>
            </w:pPr>
            <w:r>
              <w:rPr>
                <w:rFonts w:ascii="仿宋_GB2312" w:hAnsi="仿宋_GB2312" w:cs="仿宋_GB2312" w:eastAsia="仿宋_GB2312"/>
              </w:rPr>
              <w:t>采购包10：1,200,000.00元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计划委制定的《招标代理服务收费管理暂行办法》（计价格[2002]1980号）及国家发展改革委办公厅制定的《关于招标代理服务收费有关问题的通知》（发改办价格[2003]857号）等相关规定收取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西安市环境保护科学研究院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西安市环境保护科学研究院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西安市环境保护科学研究院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详见采购合同约定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本项目主要完成以下工作：</w:t>
      </w:r>
    </w:p>
    <w:p>
      <w:pPr>
        <w:pStyle w:val="null3"/>
        <w:ind w:firstLine="480"/>
      </w:pPr>
      <w:r>
        <w:rPr>
          <w:rFonts w:ascii="仿宋_GB2312" w:hAnsi="仿宋_GB2312" w:cs="仿宋_GB2312" w:eastAsia="仿宋_GB2312"/>
        </w:rPr>
        <w:t>通过项目实施，将</w:t>
      </w:r>
      <w:r>
        <w:rPr>
          <w:rFonts w:ascii="仿宋_GB2312" w:hAnsi="仿宋_GB2312" w:cs="仿宋_GB2312" w:eastAsia="仿宋_GB2312"/>
        </w:rPr>
        <w:t>2026</w:t>
      </w:r>
      <w:r>
        <w:rPr>
          <w:rFonts w:ascii="仿宋_GB2312" w:hAnsi="仿宋_GB2312" w:cs="仿宋_GB2312" w:eastAsia="仿宋_GB2312"/>
        </w:rPr>
        <w:t>年度全市规划储备且拟供应用于</w:t>
      </w:r>
      <w:r>
        <w:rPr>
          <w:rFonts w:ascii="仿宋_GB2312" w:hAnsi="仿宋_GB2312" w:cs="仿宋_GB2312" w:eastAsia="仿宋_GB2312"/>
        </w:rPr>
        <w:t>“</w:t>
      </w:r>
      <w:r>
        <w:rPr>
          <w:rFonts w:ascii="仿宋_GB2312" w:hAnsi="仿宋_GB2312" w:cs="仿宋_GB2312" w:eastAsia="仿宋_GB2312"/>
        </w:rPr>
        <w:t>一住两公</w:t>
      </w:r>
      <w:r>
        <w:rPr>
          <w:rFonts w:ascii="仿宋_GB2312" w:hAnsi="仿宋_GB2312" w:cs="仿宋_GB2312" w:eastAsia="仿宋_GB2312"/>
        </w:rPr>
        <w:t>”</w:t>
      </w:r>
      <w:r>
        <w:rPr>
          <w:rFonts w:ascii="仿宋_GB2312" w:hAnsi="仿宋_GB2312" w:cs="仿宋_GB2312" w:eastAsia="仿宋_GB2312"/>
        </w:rPr>
        <w:t>的建设用地完成土壤污染调查评估，均为第一阶段土壤污染状况调查，满足全市建设用地安全利用要求。对各区（县）开发区和土地储备机构提交的地块清单按时完成建设用地土壤污染状况调查报告评估，为办理建设用地及规划审批手续及土地供应提供前置保障</w:t>
      </w:r>
      <w:r>
        <w:rPr>
          <w:rFonts w:ascii="仿宋_GB2312" w:hAnsi="仿宋_GB2312" w:cs="仿宋_GB2312" w:eastAsia="仿宋_GB2312"/>
        </w:rPr>
        <w:t>。</w:t>
      </w:r>
    </w:p>
    <w:p>
      <w:pPr>
        <w:pStyle w:val="null3"/>
        <w:ind w:right="105" w:firstLine="482"/>
        <w:jc w:val="both"/>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建设用地土壤污染状况调查评估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标的名称：建设用地土壤污染状况调查评估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一、项目需求</w:t>
            </w:r>
          </w:p>
          <w:p>
            <w:pPr>
              <w:pStyle w:val="null3"/>
              <w:ind w:firstLine="480"/>
              <w:jc w:val="both"/>
            </w:pPr>
            <w:r>
              <w:rPr>
                <w:rFonts w:ascii="仿宋_GB2312" w:hAnsi="仿宋_GB2312" w:cs="仿宋_GB2312" w:eastAsia="仿宋_GB2312"/>
                <w:sz w:val="24"/>
              </w:rPr>
              <w:t>根据相关通知文件要求，</w:t>
            </w:r>
            <w:r>
              <w:rPr>
                <w:rFonts w:ascii="仿宋_GB2312" w:hAnsi="仿宋_GB2312" w:cs="仿宋_GB2312" w:eastAsia="仿宋_GB2312"/>
                <w:sz w:val="24"/>
              </w:rPr>
              <w:t>2026</w:t>
            </w:r>
            <w:r>
              <w:rPr>
                <w:rFonts w:ascii="仿宋_GB2312" w:hAnsi="仿宋_GB2312" w:cs="仿宋_GB2312" w:eastAsia="仿宋_GB2312"/>
                <w:sz w:val="24"/>
              </w:rPr>
              <w:t>年计划对全市规划用途拟变更为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的建设用地开展土壤污染状况调查评估工作</w:t>
            </w:r>
            <w:r>
              <w:rPr>
                <w:rFonts w:ascii="仿宋_GB2312" w:hAnsi="仿宋_GB2312" w:cs="仿宋_GB2312" w:eastAsia="仿宋_GB2312"/>
                <w:sz w:val="24"/>
              </w:rPr>
              <w:t>，均为第一阶段土壤污染状况调查，</w:t>
            </w:r>
            <w:r>
              <w:rPr>
                <w:rFonts w:ascii="仿宋_GB2312" w:hAnsi="仿宋_GB2312" w:cs="仿宋_GB2312" w:eastAsia="仿宋_GB2312"/>
                <w:sz w:val="24"/>
              </w:rPr>
              <w:t>为全市建设用地土壤污染状况质量工作提供支撑。</w:t>
            </w:r>
          </w:p>
          <w:p>
            <w:pPr>
              <w:pStyle w:val="null3"/>
              <w:ind w:firstLine="482"/>
              <w:jc w:val="both"/>
            </w:pPr>
            <w:r>
              <w:rPr>
                <w:rFonts w:ascii="仿宋_GB2312" w:hAnsi="仿宋_GB2312" w:cs="仿宋_GB2312" w:eastAsia="仿宋_GB2312"/>
                <w:sz w:val="24"/>
                <w:b/>
              </w:rPr>
              <w:t>二、采购目标</w:t>
            </w:r>
          </w:p>
          <w:p>
            <w:pPr>
              <w:pStyle w:val="null3"/>
              <w:ind w:firstLine="480"/>
              <w:jc w:val="both"/>
            </w:pPr>
            <w:r>
              <w:rPr>
                <w:rFonts w:ascii="仿宋_GB2312" w:hAnsi="仿宋_GB2312" w:cs="仿宋_GB2312" w:eastAsia="仿宋_GB2312"/>
                <w:sz w:val="24"/>
              </w:rPr>
              <w:t>通过项目实施，对</w:t>
            </w:r>
            <w:r>
              <w:rPr>
                <w:rFonts w:ascii="仿宋_GB2312" w:hAnsi="仿宋_GB2312" w:cs="仿宋_GB2312" w:eastAsia="仿宋_GB2312"/>
                <w:sz w:val="24"/>
              </w:rPr>
              <w:t>2026</w:t>
            </w:r>
            <w:r>
              <w:rPr>
                <w:rFonts w:ascii="仿宋_GB2312" w:hAnsi="仿宋_GB2312" w:cs="仿宋_GB2312" w:eastAsia="仿宋_GB2312"/>
                <w:sz w:val="24"/>
              </w:rPr>
              <w:t>年度全市规划用途拟变更为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的建设用地完成土壤污染状况调查评估工作，</w:t>
            </w:r>
            <w:r>
              <w:rPr>
                <w:rFonts w:ascii="仿宋_GB2312" w:hAnsi="仿宋_GB2312" w:cs="仿宋_GB2312" w:eastAsia="仿宋_GB2312"/>
                <w:sz w:val="24"/>
              </w:rPr>
              <w:t>均为</w:t>
            </w:r>
            <w:r>
              <w:rPr>
                <w:rFonts w:ascii="仿宋_GB2312" w:hAnsi="仿宋_GB2312" w:cs="仿宋_GB2312" w:eastAsia="仿宋_GB2312"/>
                <w:sz w:val="24"/>
              </w:rPr>
              <w:t>第一阶段土壤污染状况调查，</w:t>
            </w:r>
            <w:r>
              <w:rPr>
                <w:rFonts w:ascii="仿宋_GB2312" w:hAnsi="仿宋_GB2312" w:cs="仿宋_GB2312" w:eastAsia="仿宋_GB2312"/>
                <w:sz w:val="24"/>
              </w:rPr>
              <w:t>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pPr>
              <w:pStyle w:val="null3"/>
              <w:ind w:firstLine="482"/>
              <w:jc w:val="both"/>
            </w:pPr>
            <w:r>
              <w:rPr>
                <w:rFonts w:ascii="仿宋_GB2312" w:hAnsi="仿宋_GB2312" w:cs="仿宋_GB2312" w:eastAsia="仿宋_GB2312"/>
                <w:sz w:val="24"/>
                <w:b/>
              </w:rPr>
              <w:t>三、工作流程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、地块筛选</w:t>
            </w:r>
          </w:p>
          <w:p>
            <w:pPr>
              <w:pStyle w:val="null3"/>
              <w:ind w:firstLine="480"/>
              <w:jc w:val="both"/>
            </w:pPr>
            <w:r>
              <w:rPr>
                <w:rFonts w:ascii="仿宋_GB2312" w:hAnsi="仿宋_GB2312" w:cs="仿宋_GB2312" w:eastAsia="仿宋_GB2312"/>
                <w:sz w:val="24"/>
              </w:rPr>
              <w:t>中标方应对采购方派发的地块开展前期筛选工作，包括但不限于资料收集及现场调查等方式，</w:t>
            </w:r>
            <w:r>
              <w:rPr>
                <w:rFonts w:ascii="仿宋_GB2312" w:hAnsi="仿宋_GB2312" w:cs="仿宋_GB2312" w:eastAsia="仿宋_GB2312"/>
                <w:sz w:val="24"/>
              </w:rPr>
              <w:t>最终确定是否属于第一阶段土壤污染状况调查的地块。</w:t>
            </w:r>
            <w:r>
              <w:rPr>
                <w:rFonts w:ascii="仿宋_GB2312" w:hAnsi="仿宋_GB2312" w:cs="仿宋_GB2312" w:eastAsia="仿宋_GB2312"/>
                <w:sz w:val="24"/>
              </w:rPr>
              <w:t>中标方在</w:t>
            </w:r>
            <w:r>
              <w:rPr>
                <w:rFonts w:ascii="仿宋_GB2312" w:hAnsi="仿宋_GB2312" w:cs="仿宋_GB2312" w:eastAsia="仿宋_GB2312"/>
                <w:sz w:val="24"/>
              </w:rPr>
              <w:t>2</w:t>
            </w:r>
            <w:r>
              <w:rPr>
                <w:rFonts w:ascii="仿宋_GB2312" w:hAnsi="仿宋_GB2312" w:cs="仿宋_GB2312" w:eastAsia="仿宋_GB2312"/>
                <w:sz w:val="24"/>
              </w:rPr>
              <w:t>个工作日内对派发地块以书面形式将甄别结果及相关证明材料报送采购方，</w:t>
            </w:r>
            <w:r>
              <w:rPr>
                <w:rFonts w:ascii="仿宋_GB2312" w:hAnsi="仿宋_GB2312" w:cs="仿宋_GB2312" w:eastAsia="仿宋_GB2312"/>
                <w:sz w:val="24"/>
              </w:rPr>
              <w:t>作为采购方对派发地块明确是否开展调查评估工作的依据。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、地块调查</w:t>
            </w:r>
          </w:p>
          <w:p>
            <w:pPr>
              <w:pStyle w:val="null3"/>
              <w:ind w:firstLine="480"/>
              <w:jc w:val="both"/>
            </w:pPr>
            <w:r>
              <w:rPr>
                <w:rFonts w:ascii="仿宋_GB2312" w:hAnsi="仿宋_GB2312" w:cs="仿宋_GB2312" w:eastAsia="仿宋_GB2312"/>
                <w:sz w:val="24"/>
              </w:rPr>
              <w:t>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对开展第一阶段土壤污染状况调查的地块进行</w:t>
            </w:r>
            <w:r>
              <w:rPr>
                <w:rFonts w:ascii="仿宋_GB2312" w:hAnsi="仿宋_GB2312" w:cs="仿宋_GB2312" w:eastAsia="仿宋_GB2312"/>
                <w:sz w:val="24"/>
              </w:rPr>
              <w:t>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个工作日（特殊要求地块按实际要求时限完成）内完成报告编制，并在系统平台及时提交建设用地土壤污染状况调查报告等相关资料完成送审。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、地块评审</w:t>
            </w:r>
          </w:p>
          <w:p>
            <w:pPr>
              <w:pStyle w:val="null3"/>
              <w:ind w:firstLine="480"/>
              <w:jc w:val="both"/>
            </w:pPr>
            <w:r>
              <w:rPr>
                <w:rFonts w:ascii="仿宋_GB2312" w:hAnsi="仿宋_GB2312" w:cs="仿宋_GB2312" w:eastAsia="仿宋_GB2312"/>
                <w:sz w:val="24"/>
              </w:rPr>
              <w:t>中标方自通过专家技术审查会之日起</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2"/>
              <w:jc w:val="both"/>
            </w:pPr>
            <w:r>
              <w:rPr>
                <w:rFonts w:ascii="仿宋_GB2312" w:hAnsi="仿宋_GB2312" w:cs="仿宋_GB2312" w:eastAsia="仿宋_GB2312"/>
                <w:sz w:val="24"/>
                <w:b/>
              </w:rPr>
              <w:t>四、服务要求</w:t>
            </w:r>
          </w:p>
          <w:tbl>
            <w:tblPr>
              <w:tblBorders>
                <w:top w:val="none" w:color="000000" w:sz="4"/>
                <w:left w:val="none" w:color="000000" w:sz="4"/>
                <w:bottom w:val="none" w:color="000000" w:sz="4"/>
                <w:right w:val="none" w:color="000000" w:sz="4"/>
                <w:insideH w:val="none"/>
                <w:insideV w:val="none"/>
              </w:tblBorders>
            </w:tblPr>
            <w:tblGrid>
              <w:gridCol w:w="231"/>
              <w:gridCol w:w="728"/>
              <w:gridCol w:w="471"/>
              <w:gridCol w:w="257"/>
              <w:gridCol w:w="291"/>
              <w:gridCol w:w="473"/>
            </w:tblGrid>
            <w:tr>
              <w:tc>
                <w:tcPr>
                  <w:tcW w:type="dxa" w:w="23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728"/>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c>
                <w:tcPr>
                  <w:tcW w:type="dxa" w:w="471"/>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548"/>
                  <w:gridSpan w:val="2"/>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c>
                <w:tcPr>
                  <w:tcW w:type="dxa" w:w="473"/>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单价限价</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30</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7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4"/>
                    <w:jc w:val="center"/>
                  </w:pPr>
                  <w:r>
                    <w:rPr>
                      <w:rFonts w:ascii="仿宋_GB2312" w:hAnsi="仿宋_GB2312" w:cs="仿宋_GB2312" w:eastAsia="仿宋_GB2312"/>
                      <w:sz w:val="21"/>
                    </w:rPr>
                    <w:t>用地面积在</w:t>
                  </w:r>
                  <w:r>
                    <w:rPr>
                      <w:rFonts w:ascii="仿宋_GB2312" w:hAnsi="仿宋_GB2312" w:cs="仿宋_GB2312" w:eastAsia="仿宋_GB2312"/>
                      <w:sz w:val="21"/>
                    </w:rPr>
                    <w:t>50</w:t>
                  </w:r>
                  <w:r>
                    <w:rPr>
                      <w:rFonts w:ascii="仿宋_GB2312" w:hAnsi="仿宋_GB2312" w:cs="仿宋_GB2312" w:eastAsia="仿宋_GB2312"/>
                      <w:sz w:val="21"/>
                    </w:rPr>
                    <w:t>亩（不含</w:t>
                  </w:r>
                  <w:r>
                    <w:rPr>
                      <w:rFonts w:ascii="仿宋_GB2312" w:hAnsi="仿宋_GB2312" w:cs="仿宋_GB2312" w:eastAsia="仿宋_GB2312"/>
                      <w:sz w:val="21"/>
                    </w:rPr>
                    <w:t>50</w:t>
                  </w:r>
                  <w:r>
                    <w:rPr>
                      <w:rFonts w:ascii="仿宋_GB2312" w:hAnsi="仿宋_GB2312" w:cs="仿宋_GB2312" w:eastAsia="仿宋_GB2312"/>
                      <w:sz w:val="21"/>
                    </w:rPr>
                    <w:t>亩）以上、</w:t>
                  </w:r>
                  <w:r>
                    <w:rPr>
                      <w:rFonts w:ascii="仿宋_GB2312" w:hAnsi="仿宋_GB2312" w:cs="仿宋_GB2312" w:eastAsia="仿宋_GB2312"/>
                      <w:sz w:val="21"/>
                    </w:rPr>
                    <w:t>100</w:t>
                  </w:r>
                  <w:r>
                    <w:rPr>
                      <w:rFonts w:ascii="仿宋_GB2312" w:hAnsi="仿宋_GB2312" w:cs="仿宋_GB2312" w:eastAsia="仿宋_GB2312"/>
                      <w:sz w:val="21"/>
                    </w:rPr>
                    <w:t>亩以内（含</w:t>
                  </w:r>
                  <w:r>
                    <w:rPr>
                      <w:rFonts w:ascii="仿宋_GB2312" w:hAnsi="仿宋_GB2312" w:cs="仿宋_GB2312" w:eastAsia="仿宋_GB2312"/>
                      <w:sz w:val="21"/>
                    </w:rPr>
                    <w:t>50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r>
              <w:tc>
                <w:tcPr>
                  <w:tcW w:type="dxa" w:w="23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7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5" w:right="135" w:firstLine="3"/>
                    <w:jc w:val="center"/>
                  </w:pPr>
                  <w:r>
                    <w:rPr>
                      <w:rFonts w:ascii="仿宋_GB2312" w:hAnsi="仿宋_GB2312" w:cs="仿宋_GB2312" w:eastAsia="仿宋_GB2312"/>
                      <w:sz w:val="21"/>
                    </w:rPr>
                    <w:t>用地面积在</w:t>
                  </w:r>
                  <w:r>
                    <w:rPr>
                      <w:rFonts w:ascii="仿宋_GB2312" w:hAnsi="仿宋_GB2312" w:cs="仿宋_GB2312" w:eastAsia="仿宋_GB2312"/>
                      <w:sz w:val="21"/>
                    </w:rPr>
                    <w:t>100</w:t>
                  </w:r>
                  <w:r>
                    <w:rPr>
                      <w:rFonts w:ascii="仿宋_GB2312" w:hAnsi="仿宋_GB2312" w:cs="仿宋_GB2312" w:eastAsia="仿宋_GB2312"/>
                      <w:sz w:val="21"/>
                    </w:rPr>
                    <w:t>亩以上（不含</w:t>
                  </w:r>
                  <w:r>
                    <w:rPr>
                      <w:rFonts w:ascii="仿宋_GB2312" w:hAnsi="仿宋_GB2312" w:cs="仿宋_GB2312" w:eastAsia="仿宋_GB2312"/>
                      <w:sz w:val="21"/>
                    </w:rPr>
                    <w:t>1000</w:t>
                  </w:r>
                  <w:r>
                    <w:rPr>
                      <w:rFonts w:ascii="仿宋_GB2312" w:hAnsi="仿宋_GB2312" w:cs="仿宋_GB2312" w:eastAsia="仿宋_GB2312"/>
                      <w:sz w:val="21"/>
                    </w:rPr>
                    <w:t>亩）建设用地</w:t>
                  </w:r>
                </w:p>
              </w:tc>
              <w:tc>
                <w:tcPr>
                  <w:tcW w:type="dxa" w:w="471"/>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宗</w:t>
                  </w:r>
                </w:p>
              </w:tc>
              <w:tc>
                <w:tcPr>
                  <w:tcW w:type="dxa" w:w="257"/>
                  <w:vMerge/>
                  <w:tcBorders>
                    <w:top w:val="single" w:color="000000" w:sz="4"/>
                    <w:left w:val="single" w:color="000000" w:sz="4"/>
                    <w:bottom w:val="single" w:color="000000" w:sz="4"/>
                    <w:right w:val="single" w:color="000000" w:sz="4"/>
                  </w:tcBorders>
                </w:tcPr>
                <w:p/>
              </w:tc>
              <w:tc>
                <w:tcPr>
                  <w:tcW w:type="dxa" w:w="291"/>
                  <w:tcBorders>
                    <w:top w:val="singl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约</w:t>
                  </w:r>
                  <w:r>
                    <w:rPr>
                      <w:rFonts w:ascii="仿宋_GB2312" w:hAnsi="仿宋_GB2312" w:cs="仿宋_GB2312" w:eastAsia="仿宋_GB2312"/>
                      <w:sz w:val="21"/>
                    </w:rPr>
                    <w:t>10</w:t>
                  </w:r>
                </w:p>
              </w:tc>
              <w:tc>
                <w:tcPr>
                  <w:tcW w:type="dxa" w:w="47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宗</w:t>
                  </w:r>
                </w:p>
              </w:tc>
            </w:tr>
          </w:tbl>
          <w:p>
            <w:pPr>
              <w:pStyle w:val="null3"/>
              <w:ind w:firstLine="480"/>
              <w:jc w:val="both"/>
            </w:pPr>
            <w:r>
              <w:rPr>
                <w:rFonts w:ascii="仿宋_GB2312" w:hAnsi="仿宋_GB2312" w:cs="仿宋_GB2312" w:eastAsia="仿宋_GB2312"/>
                <w:sz w:val="24"/>
              </w:rPr>
              <w:t>技术要求：根据《建设用地土壤环境调查评估技术指南》的相关要求，按照《建设用地土壤污染状况调查技术导则（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）》的步骤，中标方通过采取资料收集分析、现场踏勘和人员访谈等方式，规范开展建设用地土壤污染状况调查评估工作，</w:t>
            </w:r>
            <w:r>
              <w:rPr>
                <w:rFonts w:ascii="仿宋_GB2312" w:hAnsi="仿宋_GB2312" w:cs="仿宋_GB2312" w:eastAsia="仿宋_GB2312"/>
                <w:sz w:val="24"/>
              </w:rPr>
              <w:t>对开展第一阶段土壤污染状况调查的地块</w:t>
            </w:r>
            <w:r>
              <w:rPr>
                <w:rFonts w:ascii="仿宋_GB2312" w:hAnsi="仿宋_GB2312" w:cs="仿宋_GB2312" w:eastAsia="仿宋_GB2312"/>
                <w:sz w:val="24"/>
              </w:rPr>
              <w:t>进行历史沿革分析及污染识别，再结合规划用地性质，明确调查评估建设用地是否存在污染风险，完成派发地块的土壤污染状况调查结果分析，编制《建设用地土壤污染状况调查报告》</w:t>
            </w:r>
            <w:r>
              <w:rPr>
                <w:rFonts w:ascii="仿宋_GB2312" w:hAnsi="仿宋_GB2312" w:cs="仿宋_GB2312" w:eastAsia="仿宋_GB2312"/>
                <w:sz w:val="24"/>
              </w:rPr>
              <w:t>并在系统平台及时提交建设用地土壤污染状况调查报告等相关资料完成送审。通过专家技术审查会后，中标方通过补充修改材料或现场踏勘等方式对报告修改完善，完成专家复核签字确认并上传系统平台备案。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成果交付要求：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、成果文件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）成果文件包括土壤污染状况调查报告文本；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）合同履行期限内，中标方接受委托后</w:t>
            </w:r>
            <w:r>
              <w:rPr>
                <w:rFonts w:ascii="仿宋_GB2312" w:hAnsi="仿宋_GB2312" w:cs="仿宋_GB2312" w:eastAsia="仿宋_GB2312"/>
                <w:sz w:val="24"/>
              </w:rPr>
              <w:t>40</w:t>
            </w:r>
            <w:r>
              <w:rPr>
                <w:rFonts w:ascii="仿宋_GB2312" w:hAnsi="仿宋_GB2312" w:cs="仿宋_GB2312" w:eastAsia="仿宋_GB2312"/>
                <w:sz w:val="24"/>
              </w:rPr>
              <w:t>个工作日（特殊要求地块按实际要求时限完成）内完成报告编制并通过技术评审，在报告通过技术评审后</w:t>
            </w:r>
            <w:r>
              <w:rPr>
                <w:rFonts w:ascii="仿宋_GB2312" w:hAnsi="仿宋_GB2312" w:cs="仿宋_GB2312" w:eastAsia="仿宋_GB2312"/>
                <w:sz w:val="24"/>
              </w:rPr>
              <w:t>10</w:t>
            </w:r>
            <w:r>
              <w:rPr>
                <w:rFonts w:ascii="仿宋_GB2312" w:hAnsi="仿宋_GB2312" w:cs="仿宋_GB2312" w:eastAsia="仿宋_GB2312"/>
                <w:sz w:val="24"/>
              </w:rPr>
              <w:t>个工作日（特殊要求地块按实际要求时限完成）内，中标方通过补充修改材料或现场踏勘等方式对报告修改完善，完成专家复核签字确认并上传系统平台备案。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、提交工作成果的形式</w:t>
            </w:r>
          </w:p>
          <w:p>
            <w:pPr>
              <w:pStyle w:val="null3"/>
              <w:ind w:firstLine="480"/>
              <w:jc w:val="both"/>
            </w:pPr>
            <w:r>
              <w:rPr>
                <w:rFonts w:ascii="仿宋_GB2312" w:hAnsi="仿宋_GB2312" w:cs="仿宋_GB2312" w:eastAsia="仿宋_GB2312"/>
                <w:sz w:val="24"/>
              </w:rPr>
              <w:t>供应商需提供评审通过的最终版报告纸质版完整资料（含系统上传需要的全部材料）一式贰份（加盖公章）、报告内容光盘</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、技术咨询工作成果的验收标准</w:t>
            </w:r>
          </w:p>
          <w:p>
            <w:pPr>
              <w:pStyle w:val="null3"/>
              <w:ind w:firstLine="480"/>
              <w:jc w:val="both"/>
            </w:pPr>
            <w:r>
              <w:rPr>
                <w:rFonts w:ascii="仿宋_GB2312" w:hAnsi="仿宋_GB2312" w:cs="仿宋_GB2312" w:eastAsia="仿宋_GB2312"/>
                <w:sz w:val="24"/>
              </w:rPr>
              <w:t>符合《建设用地土壤污染状况调查技术指南》和《建设用地土壤污染状况调查技术导则》（</w:t>
            </w:r>
            <w:r>
              <w:rPr>
                <w:rFonts w:ascii="仿宋_GB2312" w:hAnsi="仿宋_GB2312" w:cs="仿宋_GB2312" w:eastAsia="仿宋_GB2312"/>
                <w:sz w:val="24"/>
              </w:rPr>
              <w:t>HJ25.1-2019</w:t>
            </w:r>
            <w:r>
              <w:rPr>
                <w:rFonts w:ascii="仿宋_GB2312" w:hAnsi="仿宋_GB2312" w:cs="仿宋_GB2312" w:eastAsia="仿宋_GB2312"/>
                <w:sz w:val="24"/>
              </w:rPr>
              <w:t>）等技术要求。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、技术咨询工作成果的验收方法：</w:t>
            </w:r>
          </w:p>
          <w:p>
            <w:pPr>
              <w:pStyle w:val="null3"/>
            </w:pPr>
            <w:r>
              <w:rPr>
                <w:rFonts w:ascii="仿宋_GB2312" w:hAnsi="仿宋_GB2312" w:cs="仿宋_GB2312" w:eastAsia="仿宋_GB2312"/>
                <w:sz w:val="24"/>
              </w:rPr>
              <w:t>完成专家评审和全国污染地块土壤环境管理系统平台备案。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投标供应商须提供针对本采购包的详细人员配备情况。要求拟派项目成员相关专业人员搭配合理、职能健全，岗位分工明确、职责清晰，满足招标文件及采购人要求，保障项目顺利实施。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投标供应商须提供针对本采购包的设施设备配备情况。满足招标文件及采购人要求，保障项目顺利实施。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1、其他要求 （1）中标方联系各地块现土地使用权人，对调查报告的所有涉及盖章部分完成盖章确认，如报告封面和扉页（签字页）、调查报告委托书、评审申请表及申请人承诺书等。 （2）中标方联系规划部门提供地块勘测定界技术报告、地块信息核实表和建设项目合规性技术审查表 （3）中标方需对项目涉及的地块调查信息等承担永久保密责任，未经采购方许可不得泄露给第三方。 （4）地块实施过程中若发生安全事故等由中标方全权负责。 2、报价要求 （1）报价方式与限价要求 本项目采用总价报价形式，投标人须依据招标文件约定的不同建设用地面积档位，分别填报对应单价及按地块数量计算的总价。投标人应严格按照招标文件附件《分项报价表》格式，对各档位建设用地面积逐一填报投标单价，所有单项投标单价均不得超出本项目对应档位的单价最高限价。 （2）报价汇总与评审依据 本项目最终投标报价按公式计算：投标报价＝投标单价×对应地块数量。评标委员会在开展价格评分评审时，以投标人各单价所对应的汇总投标总价作为唯一评审依据。 3、结算要求 合同签署生效后20个工作日内，支付合同总价的40%。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 2026年12月15日至2026年12月31日期间，原有持续未完成的或新增派发的地块由中标方继续顺延完成，此部分地块不计入据实结算的支付范围。 本项目按不同地块面积档位分项单价报价，各单价为完成相应工作的全费用价格。结算时，严格按照实际交付的评审合格地块工作数量×中标单价据实结算。 本项目建设用地数量仅为预估量，中标人须严格按照采购方全年工作部署，完成全部建设用地土壤污染状况调查评估相关工作。最终费用按实际完成工作量、结合中标单价据实结算，单采购包结算总金额不超过中标总价。若现场实际工作量超出本次招标预估数量，中标人须无条件遵照采购方要求完成全部新增及原有土壤污染状况调查评估任务；因工作量增加导致按中标单价核算金额超出单个采购包中标价上限的，超额部分成本及相关费用均由中标人自行承担，采购方不另行追加任何款项、不承担额外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自合同签订之日起至2026年12月31日； 单个地块服务期限：合同履行期限内，中标方接受委托后40个工作日（特殊要求地块按实际要求时限完成）内完成报告编制并通过技术评审，在报告通过技术评审后10个工作日（特殊要求地块按实际要求时限完成）内，中标方通过补充修改材料或现场踏勘等方式对报告修改完善，完成专家复核签字确认并上传系统平台备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西安市范围内，具体以采购方指定地点为准。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西安市范围内，具体以采购方指定地点为准。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按照项目合同和项目实施方案验收。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按照项目合同和项目实施方案验收。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合同签署生效后合同签署生效后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合同签署生效后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截止2026年9月15日，按照中标人实际完成调查评估的建设用地数量（评审会专家认为一阶段不能结束的地块除外），采购人根据项目中标固定综合单价进行据实结算。2026年12月15日，按中标人最终剩余地块实际完成数量（评审会专家认为一阶段不能结束的地块除外），采购人根据项目中标固定综合单价进行年度据实总结算，不能超过合同总价款。2026年12月15日至2026年12月31日期间，原有持续未完成的或新增派发的地块由中标人继续顺延完成，此部分地块不计入据实结算的支付范围。</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详见采购合同约定</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详见采购合同约定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共分为10个采购包，每个采购包确定1家中标方，投标方可同时参与多个合同包，但最终只能中标1个采购包。评审时按照采购包号顺序进行评审，若投标人在评审时在前一采购包中被推荐作为第一的中标候选人，则该投标人在后续其他采购包中不再参与中标候选人的推荐。本项目各采购包最多推荐三家中标候选人，若有效中标候选人不足三家，以实际数量推荐。 3.5.2投标文件递交：（1）供应商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高新区丈八一路1号汇鑫中心D座2206室（陕西德勤招标有限公司）。 3.5.3落实异常低价审查 （3.5.3.1）评审中出现下列情形之一的，评标委员会应当启动异常低价投标（响应）审查程序： （3.5.3.1）投标（响应）报价低于全部通过符合性审查供应商投标（响应）报价平均值65%的，即投标（响应）报价&lt;全部通过符合性审查供应商投标（响应）报价平均值×65%； （3.5.3.2）投标（响应）报价低于通过符合性审查的次低报价供应商投标（响应）报价65%的，即投标（响应）报价&lt;通过符合性审查的次低报价供应商投标（响应）报价×65%； （3.5.3.3）投标（响应）报价低于采购项目最高限价65%的，即投标（响应）报价&lt;采购项目最高限价×65%； （3.5.3.4）评标委员会基于专业判断，认为供应商报价过低，有可能影响产品质量或者不能诚信履约的其他情形。 （3.5.3.2）相关法律法规对供应商报价有规定的，从其规定。 （3.5.3.3）评标委员会启动异常低价投标（响应）审查后，属于（3.5.3）中第（3.5.3.1）项至第（3.5.3.4）项情形的，应当要求相关供应商在评审现场合理的时间内对投标（响应）价格作出解释，提供项目具体成本测算等与报价合理性相关的书面说明及必要的证明材料，包括但不限于原材料成本、人工成本、制造费用等。其中，属于第（3.5.3.3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3.5.4业绩相关截图示例 详见采购附件。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非联合体不分包投标声明 标的清单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非联合体不分包投标声明 标的清单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非联合体不分包投标声明 标的清单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非联合体不分包投标声明 标的清单 投标文件封面 书面声明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非联合体不分包投标声明 标的清单 投标文件封面 书面声明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控股管理关系 法定代表人授权书 投标人应提交的相关资格证明材料 近三年无重大违法、违纪书面声明 投标函 残疾人福利性单位声明函 服务方案 非联合体不分包投标声明 标的清单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（1）需求理解（18分） 一、评审内容： ①是否明晰西安市土壤污染状况调查评估项目实施背景； ②是否能准确、有针对性的阐述西安市土壤污染状况调查评估项目的工作思路和工作方法，是否熟悉西安市调查报告的评审流程； ③是否熟悉《建设用地土壤污染状况调查技术导则》（HJ 25.1-2019）《建设用地土壤环境调查评估技术指南》等相关政策文件要求并熟练应用全国污染地块土壤环境管理系统平台。 二、评审标准： ①完整性：内容全面，对评审内容中的各项要求有详细描述； ②可行性：切合本采购包实际情况，提出步骤清晰的方案； ③针对性：紧扣项目实际情况需求，内容切实合理。 三、赋分标准： ①是否明晰西安市土壤污染状况调查评估项目实施背景：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②是否能准确、有针对性的阐述西安市土壤污染状况调查评估项目的工作思路和工作方法，是否熟悉西安市调查报告的评审流程：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③是否熟悉《建设用地土壤污染状况调查技术导则》（HJ 25.1-2019）《建设用地土壤环境调查评估技术指南》等相关政策文件要求并熟练应用全国污染地块土壤环境管理系统平台：每完全满足一个评审标准、内容表述清晰完整、针对性强、逻辑严谨的得2分；内容基本满足评审标准，但存在表述不清楚、针对性不强、逻辑不清晰等轻微问题，或存在少量缺陷与不足之处的得1分；内容未满足核心评审要求，缺陷问题较多，仅能体现部分相关内容、无实质有效支撑的得0.5分，满分6分。 （2）根据理解定位，做出的服务标准及服务优势说明，说明内容科学合理、完整可行可行得2分；说明内容存在表述不清楚、针对性不强、逻辑不清晰、有缺陷或不足之处的得1分；未响应不得分。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①总体框架及计划； ②技术思路及方法； ③关键点、重难点分析； ④服务理念及特色。 二、评审标准： ①完整性：内容全面，对评审内容中的各项要求有详细描述； ②可行性：切合本采购包实际情况，提出步骤清晰的方案； ③针对性：紧扣项目实际情况需求，内容切实合理； ④专业性：逻辑性强，具有技术含量、技术水准。 三、赋分标准： ①总体框架及计划：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②技术思路及方法：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③关键点、重难点分析：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 ④服务理念及特色：每完全满足一个评审标准、内容表述清晰完整、针对性强、逻辑严谨的得1.5分；内容基本满足评审标准，但存在表述不清楚、针对性不强、逻辑不清晰等轻微问题，或存在少量缺陷与不足之处的得1分；内容未满足核心评审要求，缺陷问题较多，仅能体现部分相关内容、无实质有效支撑的得0.5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（1）质量保证（9分） 一、评审内容： ①具有针对本项目质量管理制度； ②质量保障措施； ③内部审核管控流程合理。 二、评审标准： ①完整性：内容全面，对评审内容中的各项要求有详细描述； ②可行性：切合本采购包实际情况，提出步骤清晰的方案； ③针对性：紧扣项目实际情况需求，内容切实合理。 三、赋分标准： ①具有针对本项目质量管理制度：每完全满足一个评审标准得1分，内容存在表述不清楚、针对性不强、逻辑不清晰、有缺陷或不足之处的得0.5分，满分3分； ②质量保障措施：每完全满足一个评审标准得1分，内容存在表述不清楚、针对性不强、逻辑不清晰、有缺陷或不足之处的得0.5分，满分3分； ③内部审核管控流程：每完全满足一个评审标准得1分，内容存在表述不清楚、针对性不强、逻辑不清晰、有缺陷或不足之处的得0.5分，满分3分。 （2）根据理解定位，做出质量保证及质量控制说明，说明内容科学合理、完整可行可行得1分；说明内容存在表述不清楚、针对性不强、逻辑不清晰、有缺陷或不足之处的得0.5分；未响应不得分。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①完整性：内容全面，对评审内容中的各项要求有详细描述； ②可行性：切合本采购包实际情况，提出步骤清晰的方案； ③针对性：紧扣项目实际情况需求，内容切实合理。 三、赋分标准： ①进度的保障措施：每完全满足一个评审标准得1分，内容存在表述不清楚、针对性不强、逻辑不清晰、有缺陷或不足之处的得0.5分，满分3分； ②突发状况应急预案：每完全满足一个评审标准得1分，内容存在表述不清楚、针对性不强、逻辑不清晰、有缺陷或不足之处的得0.5分，满分3分。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①完整性：内容全面，对评审内容中的各项要求有详细描述； ②可行性：切合本采购包实际情况，提出步骤清晰的方案； ③针对性：紧扣项目实际情况需求，内容切实合理。 三、赋分标准： ①保密制度及措施：每完全满足一个评审标准得0.5分，内容存在表述不清楚、针对性不强、逻辑不清晰、有缺陷或不足之处的得0.2分，满分1.5分； ②廉洁制度及措施：每完全满足一个评审标准得0.5分，内容存在表述不清楚、针对性不强、逻辑不清晰、有缺陷或不足之处的得0.2分，满分1.5分。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①组织架构完整，岗位设置合理、明确，提供拟派团队的组织架构图、岗位分工说明及具体的项目组成员名单的，得4分； ②组织架构较为完整，岗位设置较为合理，提供拟派团队的组织架构图、岗位分工说明及具体的项目组成员名单的，3分； ③组织架构、岗位设置能够基本满足本项目采购要求，提供拟派团队的组织架构图或岗位分工说明或具体的项目组成员名单的得2分； ④组织架构、岗位设置不够合理的，得1分； ⑤无组织架构得0分。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1、拟派项目负责人具有环保类相关专业硕士学历或中级及以上职称，得1分； 2.拟派项目负责人自2024年1月1日至今作为项目负责人承担过建设用地土壤污染状况调查评估类项目的，得1分； 3.拟派团队成员（除项目负责人外）为从事环境类、土壤类等相关工作的全职技术人员，且从业经验不少于2年。每人得1分，最高得5分。 证明材料要求： 1、投标供应商应提供上述所有人员开标前一个月的社保证明材料（或社保网站截图、银行缴纳证明材料），未提供或提供材料无效本项目不得分；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提供相关定位仪或无人机等辅助调查设备，列有详细的设备清单（内容体现包括但不限于：生产厂家、规格型号、数量等），清单后附设备照片或购置发票等能证明设备归属的材料，得3分，上述信息或证明材料不齐全的得1分，不提供不得分。 （以投标文件中设备照片或购置发票等能证明设备归属的材料扫描件为准，计量仪器需提供有效期内检定/校准证书，未提供不得分）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具有切实可行的后期支持服务方案及承诺。服务范围明确、方案具体可行得2分，内容存在表述不清楚、针对性不强、逻辑不清晰、有缺陷或不足之处的得1分，未响应不得分。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2024年1月1日至今承担过土壤污染状况调查评估项目业绩证明材料。全国建设用地土壤环境管理信息系统备案的业绩每提供一份得1分，最高得8分。非全国建设用地土壤环境管理信息系统备案的业绩每提供一份得0.5分，最高得4分。业绩最高得分8分。 证明材料指1、项目报告盖章版扉页（土地使用权人和第三方调查单位均应盖章）；2、以全国建设用地土壤环境管理信息系统内评审时间为准，调查报告在全国建设用地土壤环境管理信息系统内地块开发利用模块评审&lt;含复核&gt;）信息截图/备案信息截图；3、全国建设用地土壤环境管理系统信用系统记录模块的地块对应的业绩信息情况详情截图。模板材料见附图。4、非全国建设用地土壤环境管理信息系统备案的业绩需提供项目合同关键页（含封面、内容、签订时间、盖章签字页等信息）和专家评审意见。5、以上证明材料投标供应商均提供加盖公章的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一份自2024年1月起在设区的市级生态环境部门官网发布的建设用地土壤污染状况调查报告质量信息公开截图，全年报告总数3个（含）以上，且一次性通过率100%的得3分;全年报告总数3个（含）以上，且一次性通过率90%~100%（不含）的，或全年报告总数3个（不含）以下，且一次性通过率100%的得2分;全年报告总数3个（含）以上，且一次性通过率80%~90%（不含）的，或全年报告总数3个（不含）以下，且一次性通过率90%~100%（不含）的得1分;其他情况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详见附件：法定代表人授权书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