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版本号：ZXZB-CG2026-21220260414001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西安新丝路“双百”美术精品创作工程（第三期）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ZXZB-CG2026-212</w:t>
      </w:r>
      <w:r>
        <w:br/>
      </w:r>
      <w:r>
        <w:br/>
      </w:r>
      <w:r>
        <w:br/>
      </w:r>
    </w:p>
    <w:p>
      <w:pPr>
        <w:pStyle w:val="null3"/>
        <w:jc w:val="center"/>
        <w:outlineLvl w:val="2"/>
      </w:pPr>
      <w:r>
        <w:rPr>
          <w:rFonts w:ascii="仿宋_GB2312" w:hAnsi="仿宋_GB2312" w:cs="仿宋_GB2312" w:eastAsia="仿宋_GB2312"/>
          <w:sz w:val="28"/>
          <w:b/>
        </w:rPr>
        <w:t>西安中国画院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西安中国画院</w:t>
      </w:r>
      <w:r>
        <w:rPr>
          <w:rFonts w:ascii="仿宋_GB2312" w:hAnsi="仿宋_GB2312" w:cs="仿宋_GB2312" w:eastAsia="仿宋_GB2312"/>
        </w:rPr>
        <w:t>委托，拟对</w:t>
      </w:r>
      <w:r>
        <w:rPr>
          <w:rFonts w:ascii="仿宋_GB2312" w:hAnsi="仿宋_GB2312" w:cs="仿宋_GB2312" w:eastAsia="仿宋_GB2312"/>
        </w:rPr>
        <w:t>西安新丝路“双百”美术精品创作工程（第三期）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ZXZB-CG2026-212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西安新丝路“双百”美术精品创作工程（第三期）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繁荣发展西安文化旅游，由拟推出“画西安百景”活动，组织全国优秀画家深入到西安市各区县、开发区，各名山大川、名胜古迹、旅游景点、地标性建筑、红色爱国主义教育基地、特色小镇等地，一人一景，以现场写生的形式，表现美丽西安的人文景色、历史风貌、旅游资源及现代化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采购包1（美术精品创作工程）：属于专门面向小微企业采购。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1、供应商主体资格：具有独立承担民事责任能力的法人、其他组织或自然人，并出具合法有效的营业执照等国家规定的相关证明，自然人参与的提供其身份证明（提供复印件加盖公章）</w:t>
      </w:r>
    </w:p>
    <w:p>
      <w:pPr>
        <w:pStyle w:val="null3"/>
      </w:pPr>
      <w:r>
        <w:rPr>
          <w:rFonts w:ascii="仿宋_GB2312" w:hAnsi="仿宋_GB2312" w:cs="仿宋_GB2312" w:eastAsia="仿宋_GB2312"/>
        </w:rPr>
        <w:t>2、供应商代表资格：供应商应授权合法的人员参加采购活动全过程，其中法定代表人直接参加磋商的，须出具法定代表人身份证扫描件，并与营业执照上信息一致；法定代表人授权代表参加磋商的，须出具法定代表人授权书及授权代表身份证扫描件；</w:t>
      </w:r>
    </w:p>
    <w:p>
      <w:pPr>
        <w:pStyle w:val="null3"/>
      </w:pPr>
      <w:r>
        <w:rPr>
          <w:rFonts w:ascii="仿宋_GB2312" w:hAnsi="仿宋_GB2312" w:cs="仿宋_GB2312" w:eastAsia="仿宋_GB2312"/>
        </w:rPr>
        <w:t>3、财务状况报告：提供2024年度或2025年度经审计的财务报告（至少包括资产负债表和利润表，成立时间至提交磋商响应文件递交截止时间不足一年的可提供成立后任意时段的资产负债表），或其基本存款账户开户银行出具的资信证明（附开户许可证或开户备案证明）；</w:t>
      </w:r>
    </w:p>
    <w:p>
      <w:pPr>
        <w:pStyle w:val="null3"/>
      </w:pPr>
      <w:r>
        <w:rPr>
          <w:rFonts w:ascii="仿宋_GB2312" w:hAnsi="仿宋_GB2312" w:cs="仿宋_GB2312" w:eastAsia="仿宋_GB2312"/>
        </w:rPr>
        <w:t>4、税收缴纳证明：提供2025年4月至今已缴纳的至少一个月的纳税证明或完税证明（任意税种），依法免税的单位应提供相关证明材料；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6、没有重大违法记录书面声明：参加政府采购活动近三年内，在经营活动中没有重大违法记录书面声明（加盖公章）；</w:t>
      </w:r>
    </w:p>
    <w:p>
      <w:pPr>
        <w:pStyle w:val="null3"/>
      </w:pPr>
      <w:r>
        <w:rPr>
          <w:rFonts w:ascii="仿宋_GB2312" w:hAnsi="仿宋_GB2312" w:cs="仿宋_GB2312" w:eastAsia="仿宋_GB2312"/>
        </w:rPr>
        <w:t>7、信誉截图：供应商不得为“信用中国”网站（www.creditchina.gov.cn）中列入严重失信主体名单，供应商不得为“中国执行信息公开网”（http://zxgk.court.gov.cn/shixin/） 中列入严重失信被执行人，供应商不得为政府采购严重违法失信行为记录名单的供应商，（提供查询结果网页截图）；</w:t>
      </w:r>
    </w:p>
    <w:p>
      <w:pPr>
        <w:pStyle w:val="null3"/>
      </w:pPr>
      <w:r>
        <w:rPr>
          <w:rFonts w:ascii="仿宋_GB2312" w:hAnsi="仿宋_GB2312" w:cs="仿宋_GB2312" w:eastAsia="仿宋_GB2312"/>
        </w:rPr>
        <w:t>8、控股管理关系：单位负责人为同一人或者存在直接控股、管理关系的供应商，不得参加同一合同下的政府采购活动；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西安中国画院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含光路南段14号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李俊杰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18191850147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代理服务费以实际中标价为计算基数，参照国家计委[2002]1980号文件《招标代理服务收费管理暂行办法》、发改委[2011]534号文件《关于降低部分建设项目收费标准规范收费行为等有关问题的通知》规定的收费标准下浮30%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西安中国画院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西安中国画院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西安中国画院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联系人：李俊杰</w:t>
      </w:r>
    </w:p>
    <w:p>
      <w:pPr>
        <w:pStyle w:val="null3"/>
      </w:pPr>
      <w:r>
        <w:rPr>
          <w:rFonts w:ascii="仿宋_GB2312" w:hAnsi="仿宋_GB2312" w:cs="仿宋_GB2312" w:eastAsia="仿宋_GB2312"/>
        </w:rPr>
        <w:t>联系电话：18191850147</w:t>
      </w:r>
    </w:p>
    <w:p>
      <w:pPr>
        <w:pStyle w:val="null3"/>
      </w:pPr>
      <w:r>
        <w:rPr>
          <w:rFonts w:ascii="仿宋_GB2312" w:hAnsi="仿宋_GB2312" w:cs="仿宋_GB2312" w:eastAsia="仿宋_GB2312"/>
        </w:rPr>
        <w:t>地址：陕西省西安市碑林区陕西省西安市碑林区和平路71号综合楼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繁荣发展西安文化旅游，拟推出“画西安百景”活动，组织全国优秀画家深入到西安市各区县、开发区，各名山大川、名胜古迹、旅游景点、地标性建筑、红色爱国主义教育基地、特色小镇等地，一人一景，以现场写生的形式，表现美丽西安的人文景色、历史风貌、旅游资源及现代化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西安新丝路双百美术精品创作工程（第三期）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标的名称：西安新丝路双百美术精品创作工程（第三期）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883"/>
              <w:jc w:val="center"/>
            </w:pPr>
            <w:r>
              <w:rPr>
                <w:rFonts w:ascii="仿宋_GB2312" w:hAnsi="仿宋_GB2312" w:cs="仿宋_GB2312" w:eastAsia="仿宋_GB2312"/>
                <w:sz w:val="21"/>
                <w:b/>
              </w:rPr>
              <w:t>西安新丝路“双百”美术精品创作工程（第三期）</w:t>
            </w:r>
          </w:p>
          <w:p>
            <w:pPr>
              <w:pStyle w:val="null3"/>
              <w:ind w:firstLine="883"/>
              <w:jc w:val="center"/>
            </w:pPr>
            <w:r>
              <w:rPr>
                <w:rFonts w:ascii="仿宋_GB2312" w:hAnsi="仿宋_GB2312" w:cs="仿宋_GB2312" w:eastAsia="仿宋_GB2312"/>
                <w:sz w:val="21"/>
                <w:b/>
              </w:rPr>
              <w:t>采购内容及要求</w:t>
            </w:r>
          </w:p>
          <w:p>
            <w:pPr>
              <w:pStyle w:val="null3"/>
              <w:ind w:firstLine="555"/>
              <w:jc w:val="left"/>
            </w:pPr>
            <w:r>
              <w:rPr>
                <w:rFonts w:ascii="仿宋_GB2312" w:hAnsi="仿宋_GB2312" w:cs="仿宋_GB2312" w:eastAsia="仿宋_GB2312"/>
                <w:sz w:val="21"/>
                <w:b/>
              </w:rPr>
              <w:t>一.项目名称</w:t>
            </w:r>
          </w:p>
          <w:p>
            <w:pPr>
              <w:pStyle w:val="null3"/>
              <w:ind w:firstLine="555"/>
              <w:jc w:val="left"/>
            </w:pPr>
            <w:r>
              <w:rPr>
                <w:rFonts w:ascii="仿宋_GB2312" w:hAnsi="仿宋_GB2312" w:cs="仿宋_GB2312" w:eastAsia="仿宋_GB2312"/>
                <w:sz w:val="21"/>
              </w:rPr>
              <w:t>西安新丝路“双百”美术精品创作工程（第三期）</w:t>
            </w:r>
          </w:p>
          <w:p>
            <w:pPr>
              <w:pStyle w:val="null3"/>
              <w:ind w:firstLine="555"/>
              <w:jc w:val="left"/>
            </w:pPr>
            <w:r>
              <w:rPr>
                <w:rFonts w:ascii="仿宋_GB2312" w:hAnsi="仿宋_GB2312" w:cs="仿宋_GB2312" w:eastAsia="仿宋_GB2312"/>
                <w:sz w:val="21"/>
                <w:b/>
              </w:rPr>
              <w:t>二.项目组织机构</w:t>
            </w:r>
          </w:p>
          <w:p>
            <w:pPr>
              <w:pStyle w:val="null3"/>
              <w:ind w:firstLine="555"/>
              <w:jc w:val="left"/>
            </w:pPr>
            <w:r>
              <w:rPr>
                <w:rFonts w:ascii="仿宋_GB2312" w:hAnsi="仿宋_GB2312" w:cs="仿宋_GB2312" w:eastAsia="仿宋_GB2312"/>
                <w:sz w:val="21"/>
              </w:rPr>
              <w:t>主办单位：西安市文化和旅游局</w:t>
            </w:r>
          </w:p>
          <w:p>
            <w:pPr>
              <w:pStyle w:val="null3"/>
              <w:ind w:firstLine="555"/>
              <w:jc w:val="left"/>
            </w:pPr>
            <w:r>
              <w:rPr>
                <w:rFonts w:ascii="仿宋_GB2312" w:hAnsi="仿宋_GB2312" w:cs="仿宋_GB2312" w:eastAsia="仿宋_GB2312"/>
                <w:sz w:val="21"/>
              </w:rPr>
              <w:t>学术支持单位：文化和旅游部艺术发展中心、陕西省美术家协会</w:t>
            </w:r>
          </w:p>
          <w:p>
            <w:pPr>
              <w:pStyle w:val="null3"/>
              <w:ind w:firstLine="555"/>
              <w:jc w:val="left"/>
            </w:pPr>
            <w:r>
              <w:rPr>
                <w:rFonts w:ascii="仿宋_GB2312" w:hAnsi="仿宋_GB2312" w:cs="仿宋_GB2312" w:eastAsia="仿宋_GB2312"/>
                <w:sz w:val="21"/>
              </w:rPr>
              <w:t>承办：西安中国画院</w:t>
            </w:r>
          </w:p>
          <w:p>
            <w:pPr>
              <w:pStyle w:val="null3"/>
              <w:ind w:firstLine="555"/>
              <w:jc w:val="left"/>
            </w:pPr>
            <w:r>
              <w:rPr>
                <w:rFonts w:ascii="仿宋_GB2312" w:hAnsi="仿宋_GB2312" w:cs="仿宋_GB2312" w:eastAsia="仿宋_GB2312"/>
                <w:sz w:val="21"/>
                <w:b/>
              </w:rPr>
              <w:t>三.项目概况</w:t>
            </w:r>
          </w:p>
          <w:p>
            <w:pPr>
              <w:pStyle w:val="null3"/>
              <w:ind w:firstLine="706"/>
              <w:jc w:val="left"/>
            </w:pPr>
            <w:r>
              <w:rPr>
                <w:rFonts w:ascii="仿宋_GB2312" w:hAnsi="仿宋_GB2312" w:cs="仿宋_GB2312" w:eastAsia="仿宋_GB2312"/>
                <w:sz w:val="21"/>
                <w:b/>
              </w:rPr>
              <w:t>1.“百人”工程</w:t>
            </w:r>
          </w:p>
          <w:p>
            <w:pPr>
              <w:pStyle w:val="null3"/>
              <w:ind w:firstLine="700"/>
              <w:jc w:val="left"/>
            </w:pPr>
            <w:r>
              <w:rPr>
                <w:rFonts w:ascii="仿宋_GB2312" w:hAnsi="仿宋_GB2312" w:cs="仿宋_GB2312" w:eastAsia="仿宋_GB2312"/>
                <w:sz w:val="21"/>
              </w:rPr>
              <w:t>西安是中华文明的根脉城市，文化历史底蕴深厚，如今在“一带一路”倡议下，作为丝路起点这一重要地标，如何以绘画的形式表现好、描绘好西安文明发展的脉络及在丝绸之路上的重要地位，挖掘传承丝路文明的优秀传统文化，是我院长期思考的问题。</w:t>
            </w:r>
          </w:p>
          <w:p>
            <w:pPr>
              <w:pStyle w:val="null3"/>
              <w:ind w:firstLine="560"/>
              <w:jc w:val="left"/>
            </w:pPr>
            <w:r>
              <w:rPr>
                <w:rFonts w:ascii="仿宋_GB2312" w:hAnsi="仿宋_GB2312" w:cs="仿宋_GB2312" w:eastAsia="仿宋_GB2312"/>
                <w:sz w:val="21"/>
              </w:rPr>
              <w:t>自2017年起，我院成立了西安市重大题材创作选题中心专家组，积极提供选题，现已初步征集到与丝绸之路及大西安历史文化相关的古今中外名人及文化遗产、丝路起点西安新貌等选题。</w:t>
            </w:r>
          </w:p>
          <w:p>
            <w:pPr>
              <w:pStyle w:val="null3"/>
              <w:ind w:firstLine="700"/>
              <w:jc w:val="left"/>
            </w:pPr>
            <w:r>
              <w:rPr>
                <w:rFonts w:ascii="仿宋_GB2312" w:hAnsi="仿宋_GB2312" w:cs="仿宋_GB2312" w:eastAsia="仿宋_GB2312"/>
                <w:sz w:val="21"/>
              </w:rPr>
              <w:t>我院组织的文、史、艺术专家一致认为应该兼顾历史性与艺术性、思想性、真实性的统一，按在丝绸之路及西安文脉中起过重要作用的人物及事件为代表，按帝祖、名相、名人、西商、宗教、重要事件、代表景观等分类，选取代表人物及事件进行表现。</w:t>
            </w:r>
          </w:p>
          <w:p>
            <w:pPr>
              <w:pStyle w:val="null3"/>
              <w:ind w:firstLine="706"/>
              <w:jc w:val="left"/>
            </w:pPr>
            <w:r>
              <w:rPr>
                <w:rFonts w:ascii="仿宋_GB2312" w:hAnsi="仿宋_GB2312" w:cs="仿宋_GB2312" w:eastAsia="仿宋_GB2312"/>
                <w:sz w:val="21"/>
                <w:b/>
              </w:rPr>
              <w:t>2.“百景”工程</w:t>
            </w:r>
          </w:p>
          <w:p>
            <w:pPr>
              <w:pStyle w:val="null3"/>
              <w:ind w:firstLine="555"/>
              <w:jc w:val="left"/>
            </w:pPr>
            <w:r>
              <w:rPr>
                <w:rFonts w:ascii="仿宋_GB2312" w:hAnsi="仿宋_GB2312" w:cs="仿宋_GB2312" w:eastAsia="仿宋_GB2312"/>
                <w:sz w:val="21"/>
              </w:rPr>
              <w:t>为繁荣发展西安文化旅游，由西安中国画院策划实施，拟推出“画西安百景”活动，组织全国优秀画家深入到西安市各区县、开发区，各名山大川、名胜古迹、旅游景点、地标性建筑、红色爱国主义教育基地、特色小镇等地，一人一景，以现场写生的形式，表现美丽西安的人文景色、历史风貌、旅游资源及现代化建设。</w:t>
            </w:r>
          </w:p>
          <w:p>
            <w:pPr>
              <w:pStyle w:val="null3"/>
              <w:ind w:firstLine="562"/>
              <w:jc w:val="left"/>
            </w:pPr>
            <w:r>
              <w:rPr>
                <w:rFonts w:ascii="仿宋_GB2312" w:hAnsi="仿宋_GB2312" w:cs="仿宋_GB2312" w:eastAsia="仿宋_GB2312"/>
                <w:sz w:val="21"/>
                <w:b/>
              </w:rPr>
              <w:t>3.作品要求</w:t>
            </w:r>
          </w:p>
          <w:p>
            <w:pPr>
              <w:pStyle w:val="null3"/>
              <w:ind w:firstLine="560"/>
              <w:jc w:val="left"/>
            </w:pPr>
            <w:r>
              <w:rPr>
                <w:rFonts w:ascii="仿宋_GB2312" w:hAnsi="仿宋_GB2312" w:cs="仿宋_GB2312" w:eastAsia="仿宋_GB2312"/>
                <w:sz w:val="21"/>
              </w:rPr>
              <w:t>紧扣主题，立意明确，表达清晰</w:t>
            </w:r>
          </w:p>
          <w:p>
            <w:pPr>
              <w:pStyle w:val="null3"/>
              <w:ind w:firstLine="560"/>
              <w:jc w:val="left"/>
            </w:pPr>
            <w:r>
              <w:rPr>
                <w:rFonts w:ascii="仿宋_GB2312" w:hAnsi="仿宋_GB2312" w:cs="仿宋_GB2312" w:eastAsia="仿宋_GB2312"/>
                <w:sz w:val="21"/>
              </w:rPr>
              <w:t>尺寸：高150cm，宽97cm（一律竖构图）</w:t>
            </w:r>
          </w:p>
          <w:p>
            <w:pPr>
              <w:pStyle w:val="null3"/>
              <w:ind w:firstLine="560"/>
              <w:jc w:val="left"/>
            </w:pPr>
            <w:r>
              <w:rPr>
                <w:rFonts w:ascii="仿宋_GB2312" w:hAnsi="仿宋_GB2312" w:cs="仿宋_GB2312" w:eastAsia="仿宋_GB2312"/>
                <w:sz w:val="21"/>
              </w:rPr>
              <w:t>画种：中国画、版画、水彩水粉画</w:t>
            </w:r>
          </w:p>
          <w:p>
            <w:pPr>
              <w:pStyle w:val="null3"/>
              <w:ind w:firstLine="551"/>
              <w:jc w:val="left"/>
            </w:pPr>
            <w:r>
              <w:rPr>
                <w:rFonts w:ascii="仿宋_GB2312" w:hAnsi="仿宋_GB2312" w:cs="仿宋_GB2312" w:eastAsia="仿宋_GB2312"/>
                <w:sz w:val="21"/>
                <w:b/>
              </w:rPr>
              <w:t>四.预期效益</w:t>
            </w:r>
          </w:p>
          <w:p>
            <w:pPr>
              <w:pStyle w:val="null3"/>
              <w:ind w:firstLine="555"/>
              <w:jc w:val="left"/>
            </w:pPr>
            <w:r>
              <w:rPr>
                <w:rFonts w:ascii="仿宋_GB2312" w:hAnsi="仿宋_GB2312" w:cs="仿宋_GB2312" w:eastAsia="仿宋_GB2312"/>
                <w:sz w:val="21"/>
              </w:rPr>
              <w:t>1.社会效益上，有利于繁荣发展西安文化旅游事业，营造良好的社会文化氛围，宣传大西安新貌，打造丝路文化新高地。</w:t>
            </w:r>
          </w:p>
          <w:p>
            <w:pPr>
              <w:pStyle w:val="null3"/>
              <w:ind w:firstLine="555"/>
              <w:jc w:val="left"/>
            </w:pPr>
            <w:r>
              <w:rPr>
                <w:rFonts w:ascii="仿宋_GB2312" w:hAnsi="仿宋_GB2312" w:cs="仿宋_GB2312" w:eastAsia="仿宋_GB2312"/>
                <w:sz w:val="21"/>
              </w:rPr>
              <w:t>2.文化效益上，有助于挖掘西安的传统文化内涵。</w:t>
            </w:r>
          </w:p>
          <w:p>
            <w:pPr>
              <w:pStyle w:val="null3"/>
              <w:ind w:firstLine="555"/>
              <w:jc w:val="left"/>
            </w:pPr>
            <w:r>
              <w:rPr>
                <w:rFonts w:ascii="仿宋_GB2312" w:hAnsi="仿宋_GB2312" w:cs="仿宋_GB2312" w:eastAsia="仿宋_GB2312"/>
                <w:sz w:val="21"/>
              </w:rPr>
              <w:t>3.艺术效益上，有利于繁荣西安美术创作，推介一批有思想、有温度的优秀作品，满足人民日益增长的艺术鉴赏需求。</w:t>
            </w:r>
          </w:p>
          <w:p>
            <w:pPr>
              <w:pStyle w:val="null3"/>
              <w:ind w:firstLine="555"/>
              <w:jc w:val="left"/>
            </w:pPr>
            <w:r>
              <w:rPr>
                <w:rFonts w:ascii="仿宋_GB2312" w:hAnsi="仿宋_GB2312" w:cs="仿宋_GB2312" w:eastAsia="仿宋_GB2312"/>
                <w:sz w:val="21"/>
              </w:rPr>
              <w:t>4.人才效益上，通过“名师带高徒”的形式，有利于培养一批中青年骨干画家。</w:t>
            </w:r>
          </w:p>
          <w:p>
            <w:pPr>
              <w:pStyle w:val="null3"/>
              <w:ind w:firstLine="555"/>
              <w:jc w:val="left"/>
            </w:pPr>
            <w:r>
              <w:rPr>
                <w:rFonts w:ascii="仿宋_GB2312" w:hAnsi="仿宋_GB2312" w:cs="仿宋_GB2312" w:eastAsia="仿宋_GB2312"/>
                <w:sz w:val="21"/>
              </w:rPr>
              <w:t>5.学术效益上，全部项目完成后出版配套文献集及作品集，有利于对丝路起点内涵进行学术梳理。</w:t>
            </w:r>
          </w:p>
          <w:p>
            <w:pPr>
              <w:pStyle w:val="null3"/>
              <w:ind w:firstLine="562"/>
              <w:jc w:val="left"/>
            </w:pPr>
            <w:r>
              <w:rPr>
                <w:rFonts w:ascii="仿宋_GB2312" w:hAnsi="仿宋_GB2312" w:cs="仿宋_GB2312" w:eastAsia="仿宋_GB2312"/>
                <w:sz w:val="21"/>
                <w:b/>
              </w:rPr>
              <w:t>五.项目进度安排</w:t>
            </w:r>
          </w:p>
          <w:p>
            <w:pPr>
              <w:pStyle w:val="null3"/>
              <w:ind w:firstLine="555"/>
              <w:jc w:val="left"/>
            </w:pPr>
            <w:r>
              <w:rPr>
                <w:rFonts w:ascii="仿宋_GB2312" w:hAnsi="仿宋_GB2312" w:cs="仿宋_GB2312" w:eastAsia="仿宋_GB2312"/>
                <w:sz w:val="21"/>
              </w:rPr>
              <w:t>1.召开选题论证会；</w:t>
            </w:r>
          </w:p>
          <w:p>
            <w:pPr>
              <w:pStyle w:val="null3"/>
              <w:ind w:firstLine="555"/>
              <w:jc w:val="left"/>
            </w:pPr>
            <w:r>
              <w:rPr>
                <w:rFonts w:ascii="仿宋_GB2312" w:hAnsi="仿宋_GB2312" w:cs="仿宋_GB2312" w:eastAsia="仿宋_GB2312"/>
                <w:sz w:val="21"/>
              </w:rPr>
              <w:t>2.发布选题，公开招标；</w:t>
            </w:r>
          </w:p>
          <w:p>
            <w:pPr>
              <w:pStyle w:val="null3"/>
              <w:ind w:firstLine="555"/>
              <w:jc w:val="left"/>
            </w:pPr>
            <w:r>
              <w:rPr>
                <w:rFonts w:ascii="仿宋_GB2312" w:hAnsi="仿宋_GB2312" w:cs="仿宋_GB2312" w:eastAsia="仿宋_GB2312"/>
                <w:sz w:val="21"/>
              </w:rPr>
              <w:t>3.西安周边采风写生；</w:t>
            </w:r>
          </w:p>
          <w:p>
            <w:pPr>
              <w:pStyle w:val="null3"/>
              <w:ind w:firstLine="555"/>
              <w:jc w:val="left"/>
            </w:pPr>
            <w:r>
              <w:rPr>
                <w:rFonts w:ascii="仿宋_GB2312" w:hAnsi="仿宋_GB2312" w:cs="仿宋_GB2312" w:eastAsia="仿宋_GB2312"/>
                <w:sz w:val="21"/>
              </w:rPr>
              <w:t>4.草图一审；</w:t>
            </w:r>
          </w:p>
          <w:p>
            <w:pPr>
              <w:pStyle w:val="null3"/>
              <w:ind w:firstLine="555"/>
              <w:jc w:val="left"/>
            </w:pPr>
            <w:r>
              <w:rPr>
                <w:rFonts w:ascii="仿宋_GB2312" w:hAnsi="仿宋_GB2312" w:cs="仿宋_GB2312" w:eastAsia="仿宋_GB2312"/>
                <w:sz w:val="21"/>
              </w:rPr>
              <w:t>5.草图二审；</w:t>
            </w:r>
          </w:p>
          <w:p>
            <w:pPr>
              <w:pStyle w:val="null3"/>
              <w:ind w:firstLine="555"/>
              <w:jc w:val="left"/>
            </w:pPr>
            <w:r>
              <w:rPr>
                <w:rFonts w:ascii="仿宋_GB2312" w:hAnsi="仿宋_GB2312" w:cs="仿宋_GB2312" w:eastAsia="仿宋_GB2312"/>
                <w:sz w:val="21"/>
              </w:rPr>
              <w:t>6.终审验收，作品装裱；</w:t>
            </w:r>
          </w:p>
          <w:p>
            <w:pPr>
              <w:pStyle w:val="null3"/>
              <w:ind w:firstLine="555"/>
              <w:jc w:val="left"/>
            </w:pPr>
            <w:r>
              <w:rPr>
                <w:rFonts w:ascii="仿宋_GB2312" w:hAnsi="仿宋_GB2312" w:cs="仿宋_GB2312" w:eastAsia="仿宋_GB2312"/>
                <w:sz w:val="21"/>
              </w:rPr>
              <w:t xml:space="preserve">7.举办“双百”美术精品展预热宣传活动；  </w:t>
            </w:r>
          </w:p>
          <w:p>
            <w:pPr>
              <w:pStyle w:val="null3"/>
              <w:ind w:firstLine="555"/>
              <w:jc w:val="left"/>
            </w:pPr>
            <w:r>
              <w:rPr>
                <w:rFonts w:ascii="仿宋_GB2312" w:hAnsi="仿宋_GB2312" w:cs="仿宋_GB2312" w:eastAsia="仿宋_GB2312"/>
                <w:sz w:val="21"/>
              </w:rPr>
              <w:t xml:space="preserve">8.开展线上云展，扩大影响力；  </w:t>
            </w:r>
          </w:p>
          <w:p>
            <w:pPr>
              <w:pStyle w:val="null3"/>
              <w:ind w:firstLine="555"/>
              <w:jc w:val="left"/>
            </w:pPr>
            <w:r>
              <w:rPr>
                <w:rFonts w:ascii="仿宋_GB2312" w:hAnsi="仿宋_GB2312" w:cs="仿宋_GB2312" w:eastAsia="仿宋_GB2312"/>
                <w:sz w:val="21"/>
              </w:rPr>
              <w:t>9.准备结项材料。</w:t>
            </w:r>
          </w:p>
          <w:p>
            <w:pPr>
              <w:pStyle w:val="null3"/>
              <w:ind w:right="555" w:firstLine="562"/>
              <w:jc w:val="left"/>
            </w:pPr>
            <w:r>
              <w:rPr>
                <w:rFonts w:ascii="仿宋_GB2312" w:hAnsi="仿宋_GB2312" w:cs="仿宋_GB2312" w:eastAsia="仿宋_GB2312"/>
                <w:sz w:val="21"/>
                <w:b/>
              </w:rPr>
              <w:t>六、宣传推广</w:t>
            </w:r>
          </w:p>
          <w:p>
            <w:pPr>
              <w:pStyle w:val="null3"/>
              <w:ind w:right="555"/>
              <w:jc w:val="left"/>
            </w:pPr>
            <w:r>
              <w:rPr>
                <w:rFonts w:ascii="仿宋_GB2312" w:hAnsi="仿宋_GB2312" w:cs="仿宋_GB2312" w:eastAsia="仿宋_GB2312"/>
                <w:sz w:val="21"/>
                <w:b/>
              </w:rPr>
              <w:t xml:space="preserve">    </w:t>
            </w:r>
            <w:r>
              <w:rPr>
                <w:rFonts w:ascii="仿宋_GB2312" w:hAnsi="仿宋_GB2312" w:cs="仿宋_GB2312" w:eastAsia="仿宋_GB2312"/>
                <w:sz w:val="21"/>
              </w:rPr>
              <w:t>在华商报、文化艺术报及西安文旅之声、西安中国画院（或同等及以上有宣传影响力的媒体）微信公众号、视频号上广泛宣传。</w:t>
            </w:r>
          </w:p>
          <w:p>
            <w:pPr>
              <w:pStyle w:val="null3"/>
              <w:ind w:right="555" w:firstLine="562"/>
              <w:jc w:val="left"/>
            </w:pPr>
            <w:r>
              <w:rPr>
                <w:rFonts w:ascii="仿宋_GB2312" w:hAnsi="仿宋_GB2312" w:cs="仿宋_GB2312" w:eastAsia="仿宋_GB2312"/>
                <w:sz w:val="21"/>
                <w:b/>
              </w:rPr>
              <w:t>七、项目内容</w:t>
            </w:r>
          </w:p>
          <w:p>
            <w:pPr>
              <w:pStyle w:val="null3"/>
              <w:ind w:right="555" w:firstLine="560"/>
              <w:jc w:val="left"/>
            </w:pPr>
            <w:r>
              <w:rPr>
                <w:rFonts w:ascii="仿宋_GB2312" w:hAnsi="仿宋_GB2312" w:cs="仿宋_GB2312" w:eastAsia="仿宋_GB2312"/>
                <w:sz w:val="21"/>
              </w:rPr>
              <w:t>2026年拟创作完成作品75幅。</w:t>
            </w:r>
          </w:p>
          <w:p>
            <w:pPr>
              <w:pStyle w:val="null3"/>
              <w:ind w:right="555" w:firstLine="560"/>
              <w:jc w:val="left"/>
            </w:pPr>
            <w:r>
              <w:rPr>
                <w:rFonts w:ascii="仿宋_GB2312" w:hAnsi="仿宋_GB2312" w:cs="仿宋_GB2312" w:eastAsia="仿宋_GB2312"/>
                <w:sz w:val="21"/>
              </w:rPr>
              <w:t>1.创作辅导：拟聘请副高以上职称专家为作者现场辅导3次以上；</w:t>
            </w:r>
          </w:p>
          <w:p>
            <w:pPr>
              <w:pStyle w:val="null3"/>
              <w:ind w:right="555" w:firstLine="560"/>
              <w:jc w:val="left"/>
            </w:pPr>
            <w:r>
              <w:rPr>
                <w:rFonts w:ascii="仿宋_GB2312" w:hAnsi="仿宋_GB2312" w:cs="仿宋_GB2312" w:eastAsia="仿宋_GB2312"/>
                <w:sz w:val="21"/>
              </w:rPr>
              <w:t>2.作品征集：2026年计划征集作品75幅；</w:t>
            </w:r>
          </w:p>
          <w:p>
            <w:pPr>
              <w:pStyle w:val="null3"/>
              <w:ind w:right="555" w:firstLine="560"/>
              <w:jc w:val="left"/>
            </w:pPr>
            <w:r>
              <w:rPr>
                <w:rFonts w:ascii="仿宋_GB2312" w:hAnsi="仿宋_GB2312" w:cs="仿宋_GB2312" w:eastAsia="仿宋_GB2312"/>
                <w:sz w:val="21"/>
              </w:rPr>
              <w:t>3.采风写生：组织75位中标作者前往秦岭沿线、周至、鄠邑、阎良等地写生采风，收集创作素材，4站租车，写生材料，食宿补贴；</w:t>
            </w:r>
          </w:p>
          <w:p>
            <w:pPr>
              <w:pStyle w:val="null3"/>
              <w:ind w:right="555" w:firstLine="560"/>
              <w:jc w:val="left"/>
            </w:pPr>
            <w:r>
              <w:rPr>
                <w:rFonts w:ascii="仿宋_GB2312" w:hAnsi="仿宋_GB2312" w:cs="仿宋_GB2312" w:eastAsia="仿宋_GB2312"/>
                <w:sz w:val="21"/>
              </w:rPr>
              <w:t>4.活动即时拍摄：拍摄制作活动专题片、纪录片不少于2个，每个时长5分钟以内。</w:t>
            </w:r>
          </w:p>
          <w:p>
            <w:pPr>
              <w:pStyle w:val="null3"/>
              <w:ind w:right="555" w:firstLine="560"/>
              <w:jc w:val="left"/>
            </w:pPr>
            <w:r>
              <w:rPr>
                <w:rFonts w:ascii="仿宋_GB2312" w:hAnsi="仿宋_GB2312" w:cs="仿宋_GB2312" w:eastAsia="仿宋_GB2312"/>
                <w:sz w:val="21"/>
              </w:rPr>
              <w:t xml:space="preserve">5.作品装框装裱：装框75幅；装裱75幅。                                                                                                                                                       </w:t>
            </w:r>
          </w:p>
          <w:p>
            <w:pPr>
              <w:pStyle w:val="null3"/>
              <w:ind w:right="555" w:firstLine="560"/>
              <w:jc w:val="left"/>
            </w:pPr>
            <w:r>
              <w:rPr>
                <w:rFonts w:ascii="仿宋_GB2312" w:hAnsi="仿宋_GB2312" w:cs="仿宋_GB2312" w:eastAsia="仿宋_GB2312"/>
                <w:sz w:val="21"/>
              </w:rPr>
              <w:t>6.活动整体UI设计、推广、网络展览（各大网站及微信公众号宣传）。</w:t>
            </w:r>
          </w:p>
          <w:p>
            <w:pPr>
              <w:pStyle w:val="null3"/>
              <w:ind w:right="555" w:firstLine="562"/>
              <w:jc w:val="left"/>
            </w:pPr>
            <w:r>
              <w:rPr>
                <w:rFonts w:ascii="仿宋_GB2312" w:hAnsi="仿宋_GB2312" w:cs="仿宋_GB2312" w:eastAsia="仿宋_GB2312"/>
                <w:sz w:val="21"/>
                <w:b/>
              </w:rPr>
              <w:t>八、采购清单</w:t>
            </w:r>
          </w:p>
          <w:tbl>
            <w:tblPr>
              <w:tblBorders>
                <w:top w:val="none" w:color="000000" w:sz="4"/>
                <w:left w:val="none" w:color="000000" w:sz="4"/>
                <w:bottom w:val="none" w:color="000000" w:sz="4"/>
                <w:right w:val="none" w:color="000000" w:sz="4"/>
                <w:insideH w:val="none"/>
                <w:insideV w:val="none"/>
              </w:tblBorders>
            </w:tblPr>
            <w:tblGrid>
              <w:gridCol w:w="263"/>
              <w:gridCol w:w="198"/>
              <w:gridCol w:w="99"/>
              <w:gridCol w:w="169"/>
              <w:gridCol w:w="365"/>
              <w:gridCol w:w="365"/>
              <w:gridCol w:w="365"/>
              <w:gridCol w:w="365"/>
              <w:gridCol w:w="365"/>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6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p>
                  <w:pPr>
                    <w:pStyle w:val="null3"/>
                    <w:jc w:val="center"/>
                  </w:pPr>
                  <w:r>
                    <w:rPr>
                      <w:rFonts w:ascii="仿宋_GB2312" w:hAnsi="仿宋_GB2312" w:cs="仿宋_GB2312" w:eastAsia="仿宋_GB2312"/>
                      <w:sz w:val="21"/>
                    </w:rPr>
                    <w:t>内容</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单项金额（元）</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单项合计（元）</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创作</w:t>
                  </w:r>
                </w:p>
                <w:p>
                  <w:pPr>
                    <w:pStyle w:val="null3"/>
                    <w:jc w:val="center"/>
                  </w:pPr>
                  <w:r>
                    <w:rPr>
                      <w:rFonts w:ascii="仿宋_GB2312" w:hAnsi="仿宋_GB2312" w:cs="仿宋_GB2312" w:eastAsia="仿宋_GB2312"/>
                      <w:sz w:val="21"/>
                    </w:rPr>
                    <w:t>辅导</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3次以上</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作品</w:t>
                  </w:r>
                </w:p>
                <w:p>
                  <w:pPr>
                    <w:pStyle w:val="null3"/>
                    <w:jc w:val="center"/>
                  </w:pPr>
                  <w:r>
                    <w:rPr>
                      <w:rFonts w:ascii="仿宋_GB2312" w:hAnsi="仿宋_GB2312" w:cs="仿宋_GB2312" w:eastAsia="仿宋_GB2312"/>
                      <w:sz w:val="21"/>
                    </w:rPr>
                    <w:t>征集</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375000.00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p>
                  <w:pPr>
                    <w:pStyle w:val="null3"/>
                    <w:jc w:val="center"/>
                  </w:pPr>
                </w:p>
              </w:tc>
              <w:tc>
                <w:tcPr>
                  <w:tcW w:type="dxa" w:w="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采风写生</w:t>
                  </w:r>
                </w:p>
              </w:tc>
              <w:tc>
                <w:tcPr>
                  <w:tcW w:type="dxa" w:w="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租车</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vMerge/>
                  <w:tcBorders>
                    <w:top w:val="none" w:color="000000" w:sz="4"/>
                    <w:left w:val="single" w:color="000000" w:sz="4"/>
                    <w:bottom w:val="single" w:color="000000" w:sz="4"/>
                    <w:right w:val="single" w:color="000000" w:sz="4"/>
                  </w:tcBorders>
                </w:tcPr>
                <w:p/>
              </w:tc>
              <w:tc>
                <w:tcPr>
                  <w:tcW w:type="dxa" w:w="198"/>
                  <w:vMerge/>
                  <w:tcBorders>
                    <w:top w:val="none" w:color="000000" w:sz="4"/>
                    <w:left w:val="single" w:color="000000" w:sz="4"/>
                    <w:bottom w:val="single" w:color="000000" w:sz="4"/>
                    <w:right w:val="single" w:color="000000" w:sz="4"/>
                  </w:tcBorders>
                </w:tcPr>
                <w:p/>
              </w:tc>
              <w:tc>
                <w:tcPr>
                  <w:tcW w:type="dxa" w:w="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写生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vMerge/>
                  <w:tcBorders>
                    <w:top w:val="none" w:color="000000" w:sz="4"/>
                    <w:left w:val="single" w:color="000000" w:sz="4"/>
                    <w:bottom w:val="single" w:color="000000" w:sz="4"/>
                    <w:right w:val="single" w:color="000000" w:sz="4"/>
                  </w:tcBorders>
                </w:tcPr>
                <w:p/>
              </w:tc>
              <w:tc>
                <w:tcPr>
                  <w:tcW w:type="dxa" w:w="198"/>
                  <w:vMerge/>
                  <w:tcBorders>
                    <w:top w:val="none" w:color="000000" w:sz="4"/>
                    <w:left w:val="single" w:color="000000" w:sz="4"/>
                    <w:bottom w:val="single" w:color="000000" w:sz="4"/>
                    <w:right w:val="single" w:color="000000" w:sz="4"/>
                  </w:tcBorders>
                </w:tcPr>
                <w:p/>
              </w:tc>
              <w:tc>
                <w:tcPr>
                  <w:tcW w:type="dxa" w:w="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活动即时拍摄</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作品装框装裱</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装框</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31500.00</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vMerge/>
                  <w:tcBorders>
                    <w:top w:val="none" w:color="000000" w:sz="4"/>
                    <w:left w:val="single" w:color="000000" w:sz="4"/>
                    <w:bottom w:val="single" w:color="000000" w:sz="4"/>
                    <w:right w:val="single" w:color="000000" w:sz="4"/>
                  </w:tcBorders>
                </w:tcPr>
                <w:p/>
              </w:tc>
              <w:tc>
                <w:tcPr>
                  <w:tcW w:type="dxa" w:w="297"/>
                  <w:gridSpan w:val="2"/>
                  <w:vMerge/>
                  <w:tcBorders>
                    <w:top w:val="none" w:color="000000" w:sz="4"/>
                    <w:left w:val="single" w:color="000000" w:sz="4"/>
                    <w:bottom w:val="single" w:color="000000" w:sz="4"/>
                    <w:right w:val="single" w:color="000000" w:sz="4"/>
                  </w:tcBorders>
                </w:tcP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签订合同之日起至2026年12月31日前。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具有独立承担民事责任能力的法人、其他组织或自然人，并出具合法有效的营业执照等国家规定的相关证明，自然人参与的提供其身份证明（提供复印件加盖公章）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供应商代表资格</w:t>
            </w:r>
          </w:p>
        </w:tc>
        <w:tc>
          <w:tcPr>
            <w:tcW w:type="dxa" w:w="3322"/>
          </w:tcPr>
          <w:p>
            <w:pPr>
              <w:pStyle w:val="null3"/>
            </w:pPr>
            <w:r>
              <w:rPr>
                <w:rFonts w:ascii="仿宋_GB2312" w:hAnsi="仿宋_GB2312" w:cs="仿宋_GB2312" w:eastAsia="仿宋_GB2312"/>
              </w:rPr>
              <w:t>供应商应授权合法的人员参加采购活动全过程，其中法定代表人直接参加磋商的，须出具法定代表人身份证扫描件，并与营业执照上信息一致；法定代表人授权代表参加磋商的，须出具法定代表人授权书及授权代表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至少包括资产负债表和利润表，成立时间至提交磋商响应文件递交截止时间不足一年的可提供成立后任意时段的资产负债表），或其基本存款账户开户银行出具的资信证明（附开户许可证或开户备案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参加政府采购活动近三年内，在经营活动中没有重大违法记录书面声明（加盖公章）；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供应商不得为“信用中国”网站（www.creditchina.gov.cn）中列入严重失信主体名单，供应商不得为“中国执行信息公开网”（http://zxgk.court.gov.cn/shixin/） 中列入严重失信被执行人，供应商不得为政府采购严重违法失信行为记录名单的供应商，（提供查询结果网页截图）；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供应商投标报价未超出采购预算或最高限价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供应商提供项目总体实施方案，磋商小组综合比较各供应商的制作方案，不限于以下内容①对项目规模和定位的了解②内容大纲的规划等。 1.服务总体方案完整性、合理性和可操作性强、有具体流程且合理性强得8分； 2.服务总体方案有较强的完整性、合理性和可操作性、有具体流程且合理性较强得6分； 3.服务总体方案完整性、合理性和可操作性较一般得4分； 4.有服务总体方案,但不完整，合理性和可操作性较差得2分； 未提供总体服务方案不得分。 磋商小组综合比较以上内容，单项满分8分，合计16分。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供应商针对本项目质量保证的措施方案； 1.方案完善、合理、可行，得10分； 2.方案较完善、较合理、较可行，得7分； 3.方案基本合理、可行，得5分； 4.方案内容简单，基本满足项目需求计3分；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供应商针对本项目宣传推广的方案：不限于以下内容①各级媒体投放宣传营销方案； ②相关画面设计及物料制作方案； ③活动现场及周边氛围营造方案。 1.宣传方案完整性、合理性和可操作性强、有具体流程且合理性强得4分； 2.宣传方案有较强的完整性、合理性和可操作性、有具体流程且合理性较强得3分； 3.宣传完整性、合理性和可操作性较一般得2分； 4.有宣传方案,但不完整，合理性和可操作性较差得1分； 未提供宣传方案不得分。 磋商小组综合比较以上内容，单项满分4分，合计12分。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供应商综合考虑工作进度安排是否合理、可行，是否满足项目需求。 1.安排完善、科学合理，各环节衔接紧凑，可执行性强，能够完全满足采购需求的得10分； 2.安排较为完善、较科学合理，各环节衔接较紧凑，可执行性较强，基本满足采购需求的得7分； 3.安排流程一般，各环节衔接紧凑，可执行性一般，基本满足采购需求的得5分； 4.工作进度安排不完整，工作内容安排不合理，不能完全满足采购需求的3分； 未提供本项内容得0分。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1.有详细的人员配置方案，有健全的组织机构及工作安排，岗位分工明确，得10分； 2.有较详细的人员配置方案，组织机构及工作安排较完善、合理，岗位分工明确，得7分； 3.有详细的人员配置方案，组织机构及工作安排基本完善、合理，岗位分工明确，得5分； 4.有详细的人员配置方案，组织机构及工作安排合理性差，岗位分工不明确，得3分； 未提供不计分。 注：须提供人员组成名单等证明材料，并加盖投标人公章。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供应商针对此项目服务期间发生的紧急突发情况，有全面具体的应急预案。 1、应急预案对各类型突发事件都有对应处理措施，内容全面详细，实用，可行性强，得10分； 2、应急预案内容对常见突发事件有对应处理措施，内容较全面实用，得7分； 3、应急预案内容对常见突发事件有对应处理措施，内容基本全面实用，得5分； 4、应急预案内容简单，不具备可行性得3分；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依据对本项目的理解，切合项目实际情况，为采购人提供有利于项目实施的合理化建议，按其内容综合评审。 1、合理化建议内容完整全面、详尽合理、具备可操作性，得10分； 2、合理化建议内容较完整全面、详尽合理、具备较强的可操作性，得7分； 3、合理化建议内容条款有针对性，但表述简单，可操作性欠缺的得5分； 4、合理化建议空泛，不具备项目针对性、表述不合理的得3分。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供应商提供自2022年4月1日至今承担过的类似项目业绩证明文件（以合同协议书或中标通知书为准），每提供1个有效业绩得4分，最高不超过12分。 评审依据：供应商提供合同复印件加盖公章附在磋商响应文件中。</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注：磋商小组二分之一以上专家认为供应商的报价明显低于其他供应商的报价，可能影响服务质量或者不能诚信履约的，应当要求其在评标现场合理的时间内提供书面说明，必要时提交相关证明材料；供应商不能证明其报价合理性的，评标委员会应当将其作为无效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详见附件：西安新丝路“双百”美术精品创作工程（第三期）合同.docx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