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版本号：SXJTZB-ZC-CS2026031620260414001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经开院区污水处理站明渠（巴歇尔堰槽）改造项目(二次)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SXJTZB-ZC-CS20260316</w:t>
      </w:r>
      <w:r>
        <w:br/>
      </w:r>
      <w:r>
        <w:br/>
      </w:r>
      <w:r>
        <w:br/>
      </w:r>
    </w:p>
    <w:p>
      <w:pPr>
        <w:pStyle w:val="null3"/>
        <w:jc w:val="center"/>
        <w:outlineLvl w:val="2"/>
      </w:pPr>
      <w:r>
        <w:rPr>
          <w:rFonts w:ascii="仿宋_GB2312" w:hAnsi="仿宋_GB2312" w:cs="仿宋_GB2312" w:eastAsia="仿宋_GB2312"/>
          <w:sz w:val="28"/>
          <w:b/>
        </w:rPr>
        <w:t>西安市中心医院</w:t>
      </w:r>
    </w:p>
    <w:p>
      <w:pPr>
        <w:pStyle w:val="null3"/>
        <w:jc w:val="center"/>
        <w:outlineLvl w:val="2"/>
      </w:pPr>
      <w:r>
        <w:rPr>
          <w:rFonts w:ascii="仿宋_GB2312" w:hAnsi="仿宋_GB2312" w:cs="仿宋_GB2312" w:eastAsia="仿宋_GB2312"/>
          <w:sz w:val="28"/>
          <w:b/>
        </w:rPr>
        <w:t>陕西嘉唐建设项目管理有限公司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陕西嘉唐建设项目管理有限公司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西安市中心医院</w:t>
      </w:r>
      <w:r>
        <w:rPr>
          <w:rFonts w:ascii="仿宋_GB2312" w:hAnsi="仿宋_GB2312" w:cs="仿宋_GB2312" w:eastAsia="仿宋_GB2312"/>
        </w:rPr>
        <w:t>委托，拟对</w:t>
      </w:r>
      <w:r>
        <w:rPr>
          <w:rFonts w:ascii="仿宋_GB2312" w:hAnsi="仿宋_GB2312" w:cs="仿宋_GB2312" w:eastAsia="仿宋_GB2312"/>
        </w:rPr>
        <w:t>经开院区污水处理站明渠（巴歇尔堰槽）改造项目(二次)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SXJTZB-ZC-CS20260316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经开院区污水处理站明渠（巴歇尔堰槽）改造项目(二次)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经开院区污水处理站明渠（巴歇尔堰槽）目前不符合环保相关标准，为落实环保合规要求，避免环保风险，保障院区环保工作达标开展，现需对该明渠（巴歇尔堰槽）进行改造。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采购包1（经开院区污水处理站明渠（巴歇尔堰槽）改造项目）：属于专门面向中小企业采购。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2、税收缴纳证明：提供已缴纳的近一年内任何三个月的纳税证明或完税证明，纳税证明或完税证明上应有代收机构或税务机关的公章或业务专用章。依法免税的供应商应提供相关文件证明；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3、财务状况报告：提供经审计的2024年度或2025年度完整有效的财务审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4、具有履行合同所必需的设备和专业技术能力的承诺：供应商须提供具有履行合同所必需的设备和专业技术能力的承诺；</w:t>
      </w:r>
    </w:p>
    <w:p>
      <w:pPr>
        <w:pStyle w:val="null3"/>
      </w:pPr>
      <w:r>
        <w:rPr>
          <w:rFonts w:ascii="仿宋_GB2312" w:hAnsi="仿宋_GB2312" w:cs="仿宋_GB2312" w:eastAsia="仿宋_GB2312"/>
        </w:rPr>
        <w:t>5、社会保障资金缴纳证明：提供已缴存的近一年内任何三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6、前三年内在经营活动中没有重大违法记录：法定代表人参加磋商的提供法定代表人身份证明及身份证，委托代理人参加磋商的提供法定代表人授权委托书及法定代表人、委托代理人身份证，并提供被授权人在本单位缴纳的社保记录（近3个月内，投标截止时间当月不计入），自然人参加磋商的只需提供身份证；备注：分支机构由分支机构负责人授权即可，并提供被授权人在本单位缴纳的社保记录（近3个月内，投标截止时间当月不计入）；</w:t>
      </w:r>
    </w:p>
    <w:p>
      <w:pPr>
        <w:pStyle w:val="null3"/>
      </w:pPr>
      <w:r>
        <w:rPr>
          <w:rFonts w:ascii="仿宋_GB2312" w:hAnsi="仿宋_GB2312" w:cs="仿宋_GB2312" w:eastAsia="仿宋_GB2312"/>
        </w:rPr>
        <w:t>7、企业资质：供应商具备环保工程专业承包二级及以上资质，同时具备合法有效的安全生产许可证；</w:t>
      </w:r>
    </w:p>
    <w:p>
      <w:pPr>
        <w:pStyle w:val="null3"/>
      </w:pPr>
      <w:r>
        <w:rPr>
          <w:rFonts w:ascii="仿宋_GB2312" w:hAnsi="仿宋_GB2312" w:cs="仿宋_GB2312" w:eastAsia="仿宋_GB2312"/>
        </w:rPr>
        <w:t>8、本项目不接受联合体磋商：本项目不接受联合体磋商（提供书面声明材料）；</w:t>
      </w:r>
    </w:p>
    <w:p>
      <w:pPr>
        <w:pStyle w:val="null3"/>
      </w:pPr>
      <w:r>
        <w:rPr>
          <w:rFonts w:ascii="仿宋_GB2312" w:hAnsi="仿宋_GB2312" w:cs="仿宋_GB2312" w:eastAsia="仿宋_GB2312"/>
        </w:rPr>
        <w:t>9、承诺书：本项目不接受西安市中心医院职工及其亲属投资开办企业参与本单位的采购活动（提供承诺书）。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西安市后宰门185号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029-61312515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陕西嘉唐建设项目管理有限公司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西安市未央区凤城五路与明光路十字天朗经开中心25楼2501室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张荷、贾婵、曾小旦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029-893513975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采购包1：136,000.00元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涉及</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涉及</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涉及</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代理服务费收费标准：定额收取肆仟元。服务费交纳信息： 银行户名：陕西嘉唐建设项目管理有限公司 开户银行：西安银行股份有限公司含光门支行 账 号：112011580000141313 联 系 人：王工 联系电话：029-89351397</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西安市中心医院</w:t>
      </w:r>
      <w:r>
        <w:rPr>
          <w:rFonts w:ascii="仿宋_GB2312" w:hAnsi="仿宋_GB2312" w:cs="仿宋_GB2312" w:eastAsia="仿宋_GB2312"/>
        </w:rPr>
        <w:t>和</w:t>
      </w:r>
      <w:r>
        <w:rPr>
          <w:rFonts w:ascii="仿宋_GB2312" w:hAnsi="仿宋_GB2312" w:cs="仿宋_GB2312" w:eastAsia="仿宋_GB2312"/>
        </w:rPr>
        <w:t>陕西嘉唐建设项目管理有限公司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陕西嘉唐建设项目管理有限公司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陕西嘉唐建设项目管理有限公司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一、详见拟签订合同文本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联系人：张荷、贾婵、曾小旦</w:t>
      </w:r>
    </w:p>
    <w:p>
      <w:pPr>
        <w:pStyle w:val="null3"/>
      </w:pPr>
      <w:r>
        <w:rPr>
          <w:rFonts w:ascii="仿宋_GB2312" w:hAnsi="仿宋_GB2312" w:cs="仿宋_GB2312" w:eastAsia="仿宋_GB2312"/>
        </w:rPr>
        <w:t>联系电话：029-893513975</w:t>
      </w:r>
    </w:p>
    <w:p>
      <w:pPr>
        <w:pStyle w:val="null3"/>
      </w:pPr>
      <w:r>
        <w:rPr>
          <w:rFonts w:ascii="仿宋_GB2312" w:hAnsi="仿宋_GB2312" w:cs="仿宋_GB2312" w:eastAsia="仿宋_GB2312"/>
        </w:rPr>
        <w:t>地址：西安市未央区凤城五路与明光路十字天朗经开中心25楼2501室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136,000.00</w:t>
      </w:r>
    </w:p>
    <w:p>
      <w:pPr>
        <w:pStyle w:val="null3"/>
      </w:pPr>
      <w:r>
        <w:rPr>
          <w:rFonts w:ascii="仿宋_GB2312" w:hAnsi="仿宋_GB2312" w:cs="仿宋_GB2312" w:eastAsia="仿宋_GB2312"/>
        </w:rPr>
        <w:t>采购包最高限价（元）: 135,933.06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经开院区污水处理站明渠（巴歇尔堰槽）改造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136,000.00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标的名称：经开院区污水处理站明渠（巴歇尔堰槽）改造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经开院区污水处理站明渠（巴歇尔堰槽）目前不符合环保相关标准，为落实环保合规要求，避免环保风险，保障院区环保工作达标开展，现需对该明渠（巴歇尔堰槽）进行改造。</w:t>
            </w:r>
          </w:p>
          <w:p>
            <w:pPr>
              <w:pStyle w:val="null3"/>
            </w:pPr>
            <w:r>
              <w:rPr>
                <w:rFonts w:ascii="仿宋_GB2312" w:hAnsi="仿宋_GB2312" w:cs="仿宋_GB2312" w:eastAsia="仿宋_GB2312"/>
              </w:rPr>
              <w:t>二、工程内容和施工地点、计划工期</w:t>
            </w:r>
          </w:p>
          <w:p>
            <w:pPr>
              <w:pStyle w:val="null3"/>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）工程</w:t>
            </w:r>
            <w:r>
              <w:rPr>
                <w:rFonts w:ascii="仿宋_GB2312" w:hAnsi="仿宋_GB2312" w:cs="仿宋_GB2312" w:eastAsia="仿宋_GB2312"/>
              </w:rPr>
              <w:t>内容</w:t>
            </w:r>
            <w:r>
              <w:rPr>
                <w:rFonts w:ascii="仿宋_GB2312" w:hAnsi="仿宋_GB2312" w:cs="仿宋_GB2312" w:eastAsia="仿宋_GB2312"/>
                <w:sz w:val="21"/>
              </w:rPr>
              <w:t>：</w:t>
            </w:r>
          </w:p>
          <w:p>
            <w:pPr>
              <w:pStyle w:val="null3"/>
            </w:pPr>
            <w:r>
              <w:rPr>
                <w:rFonts w:ascii="仿宋_GB2312" w:hAnsi="仿宋_GB2312" w:cs="仿宋_GB2312" w:eastAsia="仿宋_GB2312"/>
              </w:rPr>
              <w:t>1、拆除工程：原排污口部分管段封堵。</w:t>
            </w:r>
          </w:p>
          <w:p>
            <w:pPr>
              <w:pStyle w:val="null3"/>
            </w:pPr>
            <w:r>
              <w:rPr>
                <w:rFonts w:ascii="仿宋_GB2312" w:hAnsi="仿宋_GB2312" w:cs="仿宋_GB2312" w:eastAsia="仿宋_GB2312"/>
              </w:rPr>
              <w:t>2、土建安装工程：</w:t>
            </w:r>
          </w:p>
          <w:p>
            <w:pPr>
              <w:pStyle w:val="null3"/>
            </w:pPr>
            <w:r>
              <w:rPr>
                <w:rFonts w:ascii="仿宋_GB2312" w:hAnsi="仿宋_GB2312" w:cs="仿宋_GB2312" w:eastAsia="仿宋_GB2312"/>
              </w:rPr>
              <w:t>①在指定位置开挖并建造符合《明渠堰槽流量计检定规程》、《水污染源在线监测系统 （CODCr、NH3-N 等）安装技术规范》要求的标准化巴歇尔槽计量明渠，并粘贴瓷片装饰。</w:t>
            </w:r>
          </w:p>
          <w:p>
            <w:pPr>
              <w:pStyle w:val="null3"/>
            </w:pPr>
            <w:r>
              <w:rPr>
                <w:rFonts w:ascii="仿宋_GB2312" w:hAnsi="仿宋_GB2312" w:cs="仿宋_GB2312" w:eastAsia="仿宋_GB2312"/>
              </w:rPr>
              <w:t>②安装标准化的巴歇尔槽，安装高精度超声波明渠流量计（含探头、支架）及配套的流量计显示仪（带数据存储功能），位于环保在线监测站房内。</w:t>
            </w:r>
          </w:p>
          <w:p>
            <w:pPr>
              <w:pStyle w:val="null3"/>
            </w:pPr>
            <w:r>
              <w:rPr>
                <w:rFonts w:ascii="仿宋_GB2312" w:hAnsi="仿宋_GB2312" w:cs="仿宋_GB2312" w:eastAsia="仿宋_GB2312"/>
              </w:rPr>
              <w:t>③消毒池安装排水泵2台及配套控制系统。</w:t>
            </w:r>
          </w:p>
          <w:p>
            <w:pPr>
              <w:pStyle w:val="null3"/>
            </w:pPr>
            <w:r>
              <w:rPr>
                <w:rFonts w:ascii="仿宋_GB2312" w:hAnsi="仿宋_GB2312" w:cs="仿宋_GB2312" w:eastAsia="仿宋_GB2312"/>
              </w:rPr>
              <w:t>④工程需满足现行环保法规及相关政策。</w:t>
            </w:r>
          </w:p>
          <w:p>
            <w:pPr>
              <w:pStyle w:val="null3"/>
            </w:pPr>
            <w:r>
              <w:rPr>
                <w:rFonts w:ascii="仿宋_GB2312" w:hAnsi="仿宋_GB2312" w:cs="仿宋_GB2312" w:eastAsia="仿宋_GB2312"/>
              </w:rPr>
              <w:t>3、恢复与辅助工程：</w:t>
            </w:r>
          </w:p>
          <w:p>
            <w:pPr>
              <w:pStyle w:val="null3"/>
            </w:pPr>
            <w:r>
              <w:rPr>
                <w:rFonts w:ascii="仿宋_GB2312" w:hAnsi="仿宋_GB2312" w:cs="仿宋_GB2312" w:eastAsia="仿宋_GB2312"/>
              </w:rPr>
              <w:t>恢复施工现场环境、确保整洁。</w:t>
            </w:r>
          </w:p>
          <w:p>
            <w:pPr>
              <w:pStyle w:val="null3"/>
            </w:pPr>
            <w:r>
              <w:rPr>
                <w:rFonts w:ascii="仿宋_GB2312" w:hAnsi="仿宋_GB2312" w:cs="仿宋_GB2312" w:eastAsia="仿宋_GB2312"/>
                <w:sz w:val="21"/>
              </w:rPr>
              <w:t>（二）工程地点：西安市中心医院经开院区。</w:t>
            </w:r>
            <w:r>
              <w:br/>
            </w:r>
            <w:r>
              <w:rPr>
                <w:rFonts w:ascii="仿宋_GB2312" w:hAnsi="仿宋_GB2312" w:cs="仿宋_GB2312" w:eastAsia="仿宋_GB2312"/>
                <w:sz w:val="21"/>
              </w:rPr>
              <w:t>（三）计划工期：</w:t>
            </w:r>
            <w:r>
              <w:rPr>
                <w:rFonts w:ascii="仿宋_GB2312" w:hAnsi="仿宋_GB2312" w:cs="仿宋_GB2312" w:eastAsia="仿宋_GB2312"/>
                <w:sz w:val="21"/>
              </w:rPr>
              <w:t>20个日历天。</w:t>
            </w:r>
          </w:p>
          <w:p>
            <w:pPr>
              <w:pStyle w:val="null3"/>
            </w:pPr>
            <w:r>
              <w:rPr>
                <w:rFonts w:ascii="仿宋_GB2312" w:hAnsi="仿宋_GB2312" w:cs="仿宋_GB2312" w:eastAsia="仿宋_GB2312"/>
                <w:sz w:val="21"/>
              </w:rPr>
              <w:t>质保期：验收</w:t>
            </w:r>
            <w:r>
              <w:rPr>
                <w:rFonts w:ascii="仿宋_GB2312" w:hAnsi="仿宋_GB2312" w:cs="仿宋_GB2312" w:eastAsia="仿宋_GB2312"/>
                <w:sz w:val="21"/>
              </w:rPr>
              <w:t>合格</w:t>
            </w:r>
            <w:r>
              <w:rPr>
                <w:rFonts w:ascii="仿宋_GB2312" w:hAnsi="仿宋_GB2312" w:cs="仿宋_GB2312" w:eastAsia="仿宋_GB2312"/>
                <w:sz w:val="21"/>
              </w:rPr>
              <w:t>之日起计</w:t>
            </w:r>
            <w:r>
              <w:rPr>
                <w:rFonts w:ascii="仿宋_GB2312" w:hAnsi="仿宋_GB2312" w:cs="仿宋_GB2312" w:eastAsia="仿宋_GB2312"/>
                <w:sz w:val="21"/>
              </w:rPr>
              <w:t>壹</w:t>
            </w:r>
            <w:r>
              <w:rPr>
                <w:rFonts w:ascii="仿宋_GB2312" w:hAnsi="仿宋_GB2312" w:cs="仿宋_GB2312" w:eastAsia="仿宋_GB2312"/>
                <w:sz w:val="21"/>
              </w:rPr>
              <w:t>年。</w:t>
            </w:r>
          </w:p>
          <w:p>
            <w:pPr>
              <w:pStyle w:val="null3"/>
            </w:pPr>
            <w:r>
              <w:rPr>
                <w:rFonts w:ascii="仿宋_GB2312" w:hAnsi="仿宋_GB2312" w:cs="仿宋_GB2312" w:eastAsia="仿宋_GB2312"/>
              </w:rPr>
              <w:t>三、工程量清单</w:t>
            </w:r>
          </w:p>
          <w:p>
            <w:pPr>
              <w:pStyle w:val="null3"/>
            </w:pPr>
            <w:r>
              <w:rPr>
                <w:rFonts w:ascii="仿宋_GB2312" w:hAnsi="仿宋_GB2312" w:cs="仿宋_GB2312" w:eastAsia="仿宋_GB2312"/>
              </w:rPr>
              <w:t>工程量清单（</w:t>
            </w:r>
            <w:r>
              <w:rPr>
                <w:rFonts w:ascii="仿宋_GB2312" w:hAnsi="仿宋_GB2312" w:cs="仿宋_GB2312" w:eastAsia="仿宋_GB2312"/>
              </w:rPr>
              <w:t>详见附件</w:t>
            </w:r>
            <w:r>
              <w:rPr>
                <w:rFonts w:ascii="仿宋_GB2312" w:hAnsi="仿宋_GB2312" w:cs="仿宋_GB2312" w:eastAsia="仿宋_GB2312"/>
              </w:rPr>
              <w:t>）</w:t>
            </w:r>
          </w:p>
          <w:p>
            <w:pPr>
              <w:pStyle w:val="null3"/>
            </w:pPr>
            <w:r>
              <w:rPr>
                <w:rFonts w:ascii="仿宋_GB2312" w:hAnsi="仿宋_GB2312" w:cs="仿宋_GB2312" w:eastAsia="仿宋_GB2312"/>
              </w:rPr>
              <w:t>四、施工要求</w:t>
            </w:r>
          </w:p>
          <w:p>
            <w:pPr>
              <w:pStyle w:val="null3"/>
            </w:pPr>
            <w:r>
              <w:rPr>
                <w:rFonts w:ascii="仿宋_GB2312" w:hAnsi="仿宋_GB2312" w:cs="仿宋_GB2312" w:eastAsia="仿宋_GB2312"/>
                <w:sz w:val="21"/>
              </w:rPr>
              <w:t>在施工期间，中标供应商必须注意院内人员安全，加强安全措施，并对施工人员进行安全教育。施工人员必须持证上岗。施工期间不得影响医院正常工作。</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在施工期间，中标供应商必须注意院内人员安全，加强安全措施，并对施工人员进行安全教育。施工人员必须持证上岗。施工期间不得影响医院正常工作。</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（一）根据西安市财政局《关于促进政府采购公平竞争优化营商环境的通知》（市财函[2021]431号）文中“第16条规定 供应商登记免费领取采购文件的，如不参与项目投标，应在递交响应文件截止时间前一日以书面形式（格式如下，签字盖章后发回代理机构邮箱shanxijiatang@163.com即可）告知采购代理机构。否则，采购代理机构可以向财政部门反映情况并提供相应的佐证。供应商一年内累计出现三次该情形，将被监管部门记录失信行为”。 （二）中小企业划分标准：采购标的对应的中小企业划分标准所属行业为建筑业。建筑业的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（三）结算方式：银行转账;不付预付款，项目竣工验收合格后付至合同价的80%，项目审计完成后付至审定结果的95%，项目验收合格后两年内无质量问题，一次性付清余款。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或2025年度完整有效的财务审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提供已缴纳的近一年内任何三个月的纳税证明或完税证明，纳税证明或完税证明上应有代收机构或税务机关的公章或业务专用章。依法免税的供应商应提供相关文件证明；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有效的财务审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存的近一年内任何三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前三年内在经营活动中没有重大违法记录</w:t>
            </w:r>
          </w:p>
        </w:tc>
        <w:tc>
          <w:tcPr>
            <w:tcW w:type="dxa" w:w="3322"/>
          </w:tcPr>
          <w:p>
            <w:pPr>
              <w:pStyle w:val="null3"/>
            </w:pPr>
            <w:r>
              <w:rPr>
                <w:rFonts w:ascii="仿宋_GB2312" w:hAnsi="仿宋_GB2312" w:cs="仿宋_GB2312" w:eastAsia="仿宋_GB2312"/>
              </w:rPr>
              <w:t>法定代表人参加磋商的提供法定代表人身份证明及身份证，委托代理人参加磋商的提供法定代表人授权委托书及法定代表人、委托代理人身份证，并提供被授权人在本单位缴纳的社保记录（近3个月内，投标截止时间当月不计入），自然人参加磋商的只需提供身份证；备注：分支机构由分支机构负责人授权即可，并提供被授权人在本单位缴纳的社保记录（近3个月内，投标截止时间当月不计入）；</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供应商具备环保工程专业承包二级及以上资质，同时具备合法有效的安全生产许可证；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本项目不接受联合体磋商（提供书面声明材料）；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本项目不接受西安市中心医院职工及其亲属投资开办企业参与本单位的采购活动（提供承诺书）。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投标文件的完整性、有效性、响应性</w:t>
            </w:r>
          </w:p>
        </w:tc>
        <w:tc>
          <w:tcPr>
            <w:tcW w:type="dxa" w:w="3322"/>
          </w:tcPr>
          <w:p>
            <w:pPr>
              <w:pStyle w:val="null3"/>
            </w:pPr>
            <w:r>
              <w:rPr>
                <w:rFonts w:ascii="仿宋_GB2312" w:hAnsi="仿宋_GB2312" w:cs="仿宋_GB2312" w:eastAsia="仿宋_GB2312"/>
              </w:rPr>
              <w:t>响应文件是否按照磋商文件要求的格式编写。响应文件的签署、加盖印章是否有效。投标报价是否未超过最高限价；响应有效期是否符合磋商文件的要求；是否满足磋商文件的实质性要求。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承诺书.docx 资格证明文件.docx 强制优先采购产品承诺函 施工响应方案.docx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施工响应方案.docx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施工响应方案.docx</w:t>
            </w:r>
          </w:p>
        </w:tc>
      </w:tr>
      <w:tr>
        <w:tc>
          <w:tcPr>
            <w:tcW w:type="dxa" w:w="831"/>
            <w:vMerge/>
          </w:tcPr>
          <w:p/>
        </w:tc>
        <w:tc>
          <w:tcPr>
            <w:tcW w:type="dxa" w:w="1661"/>
          </w:tcPr>
          <w:p>
            <w:pPr>
              <w:pStyle w:val="null3"/>
            </w:pPr>
            <w:r>
              <w:rPr>
                <w:rFonts w:ascii="仿宋_GB2312" w:hAnsi="仿宋_GB2312" w:cs="仿宋_GB2312" w:eastAsia="仿宋_GB2312"/>
              </w:rPr>
              <w:t>项目安全保证措施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施工响应方案.docx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施工响应方案.docx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专门针对本项目编制，符合项目实际情况及实施要求，内容详尽且涵盖角度全面，合理性和可行性强，能够保障项目顺利实施的，得5分；方案能够针对本项目编制，符合项目实际情况及实施要求，内容详尽且涵盖角度基本全面，有一定的合理性和可行性的，得4分；方案基本能够针对本项目编制，基本符合项目实际情况及实施要求，内容较宽泛，涵盖角度不够全面，内容基本合理可行的，得3分；具有方案内容但内容未贴合本项目，内容涵盖角度不够全面且实施有难度的，得2分；具有方案内容但内容未针对本项目，内容空洞宽泛，基本不具有可实施性，得1分；未提供方案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施工响应方案.docx</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投入计划专门针对本项目编制，符合项目实际情况及实施要求，内容详尽且涵盖角度全面，合理性和可行性强，能够保障项目顺利实施的，得5分；投入计划基本针对本项目编制，符合项目实际情况及实施要求，内容详尽且涵盖角度基本全面，有一定的合理性和可行性的，得4分；投入计划能够针对本项目编制，基本符合项目实际情况及实施要求，内容较详细，涵盖角度较全面但略有不完善，基本合理可行的，得3分；提供投入计划，但内容涵盖角度不够全面且实施具有一定难度，得2分；投入计划内容简单笼统，实施难度大的，得1分；未提供投入计划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施工响应方案.docx</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网络图或进度表内容详尽、安排合理且实施性强计5分；网络图或进度表内容详尽、安排合理且实施性较强计4分；提供网络图或进度表内容、安排基本合理实施性缺乏计3分；提供网络图或进度表，内容不够全面，实施性不强计2分；提供网络图或进度表，内容不合理，不具有实施性计1分。未提供网络图或进度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施工响应方案.docx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安排计划科学全面、内容具体、针对性强计5分；安排计划基本全面、具有一定针对性计4分； 提供安排计划、内容基本合理、实施性欠妥计3分；提供安排计划，内容不够全面，实施性不强计2分；提供安排计划，内容简单笼统，不具有实施性计1分。未提供安排计划不计分。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施工响应方案.docx</w:t>
            </w:r>
          </w:p>
        </w:tc>
      </w:tr>
      <w:tr>
        <w:tc>
          <w:tcPr>
            <w:tcW w:type="dxa" w:w="831"/>
            <w:vMerge/>
          </w:tcPr>
          <w:p/>
        </w:tc>
        <w:tc>
          <w:tcPr>
            <w:tcW w:type="dxa" w:w="1661"/>
          </w:tcPr>
          <w:p>
            <w:pPr>
              <w:pStyle w:val="null3"/>
            </w:pPr>
            <w:r>
              <w:rPr>
                <w:rFonts w:ascii="仿宋_GB2312" w:hAnsi="仿宋_GB2312" w:cs="仿宋_GB2312" w:eastAsia="仿宋_GB2312"/>
              </w:rPr>
              <w:t>项目部组成</w:t>
            </w:r>
          </w:p>
        </w:tc>
        <w:tc>
          <w:tcPr>
            <w:tcW w:type="dxa" w:w="2492"/>
          </w:tcPr>
          <w:p>
            <w:pPr>
              <w:pStyle w:val="null3"/>
            </w:pPr>
            <w:r>
              <w:rPr>
                <w:rFonts w:ascii="仿宋_GB2312" w:hAnsi="仿宋_GB2312" w:cs="仿宋_GB2312" w:eastAsia="仿宋_GB2312"/>
              </w:rPr>
              <w:t>项目部组成科学合理、人员表配置充足，有详细的人员配置清单，针对性强，能够很好的满足项目需求，得5分；项目部组成基本合理、人员表配置基本齐全，具有人员配置清单，有一定的针对性，能够满足项目需求，得4分；提供项目部组成情况，配置基本合理但组成不全面得3分；项目部组成人员缺乏科学合理性，无人员配置清单，无法满足项目需求，得2分； 项目部组成内容简单笼统得1分。未提供项目部组成不得分。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施工响应方案.docx</w:t>
            </w:r>
          </w:p>
        </w:tc>
      </w:tr>
      <w:tr>
        <w:tc>
          <w:tcPr>
            <w:tcW w:type="dxa" w:w="831"/>
            <w:vMerge/>
          </w:tcPr>
          <w:p/>
        </w:tc>
        <w:tc>
          <w:tcPr>
            <w:tcW w:type="dxa" w:w="1661"/>
          </w:tcPr>
          <w:p>
            <w:pPr>
              <w:pStyle w:val="null3"/>
            </w:pPr>
            <w:r>
              <w:rPr>
                <w:rFonts w:ascii="仿宋_GB2312" w:hAnsi="仿宋_GB2312" w:cs="仿宋_GB2312" w:eastAsia="仿宋_GB2312"/>
              </w:rPr>
              <w:t>后续服务措施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措施内容能够针对本项目编制，符合项目实际情况及实施要求，内容详尽且涵盖角度基本全面，有一定的合理性和可行性的，得4分；措施内容基本能够针对本项目编制，基本符合项目实际情况及实施要求，内容较详细，涵盖角度较全面，基本合理可行的，得3分；具有措施内容但措施内容未贴合本项目，措施内容涵盖角度不全面且实施有难度的，得2分；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施工响应方案.docx</w:t>
            </w:r>
          </w:p>
        </w:tc>
      </w:tr>
      <w:tr>
        <w:tc>
          <w:tcPr>
            <w:tcW w:type="dxa" w:w="831"/>
            <w:vMerge/>
          </w:tcPr>
          <w:p/>
        </w:tc>
        <w:tc>
          <w:tcPr>
            <w:tcW w:type="dxa" w:w="1661"/>
          </w:tcPr>
          <w:p>
            <w:pPr>
              <w:pStyle w:val="null3"/>
            </w:pPr>
            <w:r>
              <w:rPr>
                <w:rFonts w:ascii="仿宋_GB2312" w:hAnsi="仿宋_GB2312" w:cs="仿宋_GB2312" w:eastAsia="仿宋_GB2312"/>
              </w:rPr>
              <w:t>工程质量和质量保修承诺</w:t>
            </w:r>
          </w:p>
        </w:tc>
        <w:tc>
          <w:tcPr>
            <w:tcW w:type="dxa" w:w="2492"/>
          </w:tcPr>
          <w:p>
            <w:pPr>
              <w:pStyle w:val="null3"/>
            </w:pPr>
            <w:r>
              <w:rPr>
                <w:rFonts w:ascii="仿宋_GB2312" w:hAnsi="仿宋_GB2312" w:cs="仿宋_GB2312" w:eastAsia="仿宋_GB2312"/>
              </w:rPr>
              <w:t>承诺方案专门针对本项目编制，符合项目实际情况及实施要求，内容详尽且涵盖角度全面，合理性和可行性强，保障充分，得10分；承诺方案能够针对本项目编制，符合项目实际情况及实施要求，内容详尽且涵盖角度基本全面，有一定的合理性和可行性的，得8分；承诺方案内容基本能够针对本项目编制，基本符合项目实际情况及实施要求，内容较详细，涵盖角度较全面，基本合理可行的，得6分； 具有承诺内容但内容未贴合本项目，承诺内容涵盖角度不全面且实施有难度的，得4分；具有承诺内容但内容未针对本项目，内容空洞宽泛，可实施性不强，得2分；未提供承诺内容不得分。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提供供应商2023年3月1日至今类似项目（以施工合同复印件加盖公章为准）每个计2分，最高得10分。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施工响应方案.docx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满足磋商文件要求且磋商价格最低的磋商报价为评标基准价，其价格分为满分。其他投标供应商的价格分统一按照下列公式计算：磋商报价得分=（评标基准价/磋商报价）×价格权值%×100。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详见附件：施工响应方案.docx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