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版本号：LZBA2026-28920260415001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献血宣传视频制作采购项目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LZBA2026-289</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献血宣传视频制作采购项目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LZBA2026-289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献血宣传视频制作采购项目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制作高质量的无偿献血主题宣传视频内容，扩大无偿献血宣传覆盖面，提高公众对无偿献血的认识和支持，提升公益宣传效果。服务内容涵盖无偿献血主题公益宣传片、动漫、短视频的全流程策划与制作，通过多元化的视频形式实现无偿献血知识科普、暖心事迹传递，打造兼具专业性与感染力的公益宣传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采购包1（献血宣传视频制作采购项目）：属于专门面向中小企业采购。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身份证明或法定代表人/负责人授权书：法定代表人/负责人直接参加的，需递交《法定代表人/负责人身份证明》；法定代表人/负责人授权代表参加的，需递交《法定代表人/负责人授权书》及授权代表响应文件递交截止时间前近三个月（2026年2月1日至今）社会保险缴纳证明。</w:t>
      </w:r>
    </w:p>
    <w:p>
      <w:pPr>
        <w:pStyle w:val="null3"/>
      </w:pPr>
      <w:r>
        <w:rPr>
          <w:rFonts w:ascii="仿宋_GB2312" w:hAnsi="仿宋_GB2312" w:cs="仿宋_GB2312" w:eastAsia="仿宋_GB2312"/>
        </w:rPr>
        <w:t>2、承诺书：本项目不接受西安市中心血站职工及其亲属投资开办的企业投标，提供承诺书。</w:t>
      </w:r>
    </w:p>
    <w:p>
      <w:pPr>
        <w:pStyle w:val="null3"/>
      </w:pPr>
      <w:r>
        <w:rPr>
          <w:rFonts w:ascii="仿宋_GB2312" w:hAnsi="仿宋_GB2312" w:cs="仿宋_GB2312" w:eastAsia="仿宋_GB2312"/>
        </w:rPr>
        <w:t>3、质量保证承诺书：供应商提供质量保证承诺书。</w:t>
      </w:r>
    </w:p>
    <w:p>
      <w:pPr>
        <w:pStyle w:val="null3"/>
      </w:pPr>
      <w:r>
        <w:rPr>
          <w:rFonts w:ascii="仿宋_GB2312" w:hAnsi="仿宋_GB2312" w:cs="仿宋_GB2312" w:eastAsia="仿宋_GB2312"/>
        </w:rPr>
        <w:t>4、本项目不接受联合体投标：供应商提供非联合体投标承诺书</w:t>
      </w:r>
    </w:p>
    <w:p>
      <w:pPr>
        <w:pStyle w:val="null3"/>
      </w:pPr>
      <w:r>
        <w:rPr>
          <w:rFonts w:ascii="仿宋_GB2312" w:hAnsi="仿宋_GB2312" w:cs="仿宋_GB2312" w:eastAsia="仿宋_GB2312"/>
        </w:rPr>
        <w:t>5、信用记录：供应商不得为“信用中国”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）政府采购严重违法失信行为记录名单中被财政部门禁止参加政府采购活动的供应商。采购人或采购代理机构在磋商截止后当日通过“信用中国” 网站(www. creditchina. gov.cn)、中国政府采购网 (www.ccgp.gov.cn)查询相关主体信用记录网页截图保存；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郝嘉钰、刘婧、张波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代理服务费收费标准：参照《国家计委关于印发&lt;招标代理服务收费管理暂行办法&gt;的通知》（计价格【2002】1980号）文件规定按标准计取。 采购代理服务费以转账或现金形式交纳，服务费缴纳账号如下： 收款单位：龙寰项目管理咨询有限公司 开户行：平安银行西安高新路支行 账号：30201278018366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联系人：郝嘉钰、刘婧、张波</w:t>
      </w:r>
    </w:p>
    <w:p>
      <w:pPr>
        <w:pStyle w:val="null3"/>
      </w:pPr>
      <w:r>
        <w:rPr>
          <w:rFonts w:ascii="仿宋_GB2312" w:hAnsi="仿宋_GB2312" w:cs="仿宋_GB2312" w:eastAsia="仿宋_GB2312"/>
        </w:rPr>
        <w:t>联系电话：029-88228899-613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制作高质量的无偿献血主题宣传视频内容，扩大无偿献血宣传覆盖面，提高公众对无偿献血的认识和支持，提升公益宣传效果。服务内容涵盖无偿献血主题公益宣传片、动漫、短视频的全流程策划与制作，通过多元化的视频形式实现无偿献血知识科普、暖心事迹传递，打造兼具专业性与感染力的公益宣传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献血宣传视频制作采购项目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标的名称：献血宣传视频制作采购项目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项目</w:t>
            </w:r>
            <w:r>
              <w:rPr>
                <w:rFonts w:ascii="仿宋_GB2312" w:hAnsi="仿宋_GB2312" w:cs="仿宋_GB2312" w:eastAsia="仿宋_GB2312"/>
                <w:sz w:val="24"/>
                <w:b/>
              </w:rPr>
              <w:t>概况</w:t>
            </w:r>
          </w:p>
          <w:p>
            <w:pPr>
              <w:pStyle w:val="null3"/>
              <w:ind w:firstLine="480"/>
              <w:jc w:val="both"/>
            </w:pPr>
            <w:r>
              <w:rPr>
                <w:rFonts w:ascii="仿宋_GB2312" w:hAnsi="仿宋_GB2312" w:cs="仿宋_GB2312" w:eastAsia="仿宋_GB2312"/>
                <w:sz w:val="24"/>
              </w:rPr>
              <w:t>本项目旨在制作高质量的无偿献血主题宣传视频内容，扩大无偿献血宣传覆盖面，提高公众对无偿献血的认识和支持，提升公益宣传效果。服务内容涵盖无偿献血主题公益宣传片、动漫、短视频的全流程策划与制作，通过多元化的视频形式实现无偿献血知识科普、暖心事迹传递，打造兼具专业性与感染力的公益宣传内容。</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视频制作品类及数量</w:t>
            </w:r>
          </w:p>
          <w:p>
            <w:pPr>
              <w:pStyle w:val="null3"/>
              <w:ind w:firstLine="480"/>
              <w:jc w:val="both"/>
            </w:pPr>
            <w:r>
              <w:rPr>
                <w:rFonts w:ascii="仿宋_GB2312" w:hAnsi="仿宋_GB2312" w:cs="仿宋_GB2312" w:eastAsia="仿宋_GB2312"/>
                <w:sz w:val="24"/>
              </w:rPr>
              <w:t>公益宣传片、动漫：共</w:t>
            </w:r>
            <w:r>
              <w:rPr>
                <w:rFonts w:ascii="仿宋_GB2312" w:hAnsi="仿宋_GB2312" w:cs="仿宋_GB2312" w:eastAsia="仿宋_GB2312"/>
                <w:sz w:val="24"/>
              </w:rPr>
              <w:t>3部，</w:t>
            </w:r>
            <w:r>
              <w:rPr>
                <w:rFonts w:ascii="仿宋_GB2312" w:hAnsi="仿宋_GB2312" w:cs="仿宋_GB2312" w:eastAsia="仿宋_GB2312"/>
                <w:sz w:val="24"/>
              </w:rPr>
              <w:t>2分钟≤</w:t>
            </w:r>
            <w:r>
              <w:rPr>
                <w:rFonts w:ascii="仿宋_GB2312" w:hAnsi="仿宋_GB2312" w:cs="仿宋_GB2312" w:eastAsia="仿宋_GB2312"/>
                <w:sz w:val="24"/>
              </w:rPr>
              <w:t>每部时长</w:t>
            </w:r>
            <w:r>
              <w:rPr>
                <w:rFonts w:ascii="仿宋_GB2312" w:hAnsi="仿宋_GB2312" w:cs="仿宋_GB2312" w:eastAsia="仿宋_GB2312"/>
                <w:sz w:val="24"/>
              </w:rPr>
              <w:t>≤5</w:t>
            </w:r>
            <w:r>
              <w:rPr>
                <w:rFonts w:ascii="仿宋_GB2312" w:hAnsi="仿宋_GB2312" w:cs="仿宋_GB2312" w:eastAsia="仿宋_GB2312"/>
                <w:sz w:val="24"/>
              </w:rPr>
              <w:t>分钟；</w:t>
            </w:r>
          </w:p>
          <w:p>
            <w:pPr>
              <w:pStyle w:val="null3"/>
              <w:ind w:firstLine="480"/>
              <w:jc w:val="both"/>
            </w:pPr>
            <w:r>
              <w:rPr>
                <w:rFonts w:ascii="仿宋_GB2312" w:hAnsi="仿宋_GB2312" w:cs="仿宋_GB2312" w:eastAsia="仿宋_GB2312"/>
                <w:sz w:val="24"/>
              </w:rPr>
              <w:t>短视频：</w:t>
            </w:r>
            <w:r>
              <w:rPr>
                <w:rFonts w:ascii="仿宋_GB2312" w:hAnsi="仿宋_GB2312" w:cs="仿宋_GB2312" w:eastAsia="仿宋_GB2312"/>
                <w:sz w:val="24"/>
              </w:rPr>
              <w:t>60</w:t>
            </w:r>
            <w:r>
              <w:rPr>
                <w:rFonts w:ascii="仿宋_GB2312" w:hAnsi="仿宋_GB2312" w:cs="仿宋_GB2312" w:eastAsia="仿宋_GB2312"/>
                <w:sz w:val="24"/>
              </w:rPr>
              <w:t>条</w:t>
            </w:r>
            <w:r>
              <w:rPr>
                <w:rFonts w:ascii="仿宋_GB2312" w:hAnsi="仿宋_GB2312" w:cs="仿宋_GB2312" w:eastAsia="仿宋_GB2312"/>
                <w:sz w:val="24"/>
              </w:rPr>
              <w:t>，时长</w:t>
            </w:r>
            <w:r>
              <w:rPr>
                <w:rFonts w:ascii="仿宋_GB2312" w:hAnsi="仿宋_GB2312" w:cs="仿宋_GB2312" w:eastAsia="仿宋_GB2312"/>
                <w:sz w:val="24"/>
              </w:rPr>
              <w:t>≤</w:t>
            </w:r>
            <w:r>
              <w:rPr>
                <w:rFonts w:ascii="仿宋_GB2312" w:hAnsi="仿宋_GB2312" w:cs="仿宋_GB2312" w:eastAsia="仿宋_GB2312"/>
                <w:sz w:val="24"/>
              </w:rPr>
              <w:t>1分钟；</w:t>
            </w:r>
          </w:p>
          <w:p>
            <w:pPr>
              <w:pStyle w:val="null3"/>
              <w:ind w:firstLine="480"/>
              <w:jc w:val="both"/>
            </w:pPr>
            <w:r>
              <w:rPr>
                <w:rFonts w:ascii="仿宋_GB2312" w:hAnsi="仿宋_GB2312" w:cs="仿宋_GB2312" w:eastAsia="仿宋_GB2312"/>
                <w:sz w:val="24"/>
              </w:rPr>
              <w:t>数量调整：各类宣传视频的具体数量可根据工作需要灵活调整，总费用保持不变。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团队要求核心创作团队配备齐全，需包含策划（文案</w:t>
            </w:r>
            <w:r>
              <w:rPr>
                <w:rFonts w:ascii="仿宋_GB2312" w:hAnsi="仿宋_GB2312" w:cs="仿宋_GB2312" w:eastAsia="仿宋_GB2312"/>
                <w:sz w:val="24"/>
              </w:rPr>
              <w:t>+ 脚本）、导演、摄影、灯光、收音、剪辑、调色、音效 / 配音、特效包装等关键岗位，各岗位人员具备对应从业经验并可提供个人作品集；团队需具备视频拍摄、剪辑，文案策划、剧本创作的丰富工作经验，拍摄文案及手法兼具创新、创意、融合特点，具备广泛传播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核心制作要求：供应商全程负责视频的策划与制作，从文案脚本创作、拍摄录制到后期剪辑、特效包装、配音音效等全环节落地，确保成品符合技术标准与传播要求，精准传递无偿献血公益内核，无负面导向，适配各类平台播放与传播需求。</w:t>
            </w:r>
          </w:p>
          <w:p>
            <w:pPr>
              <w:pStyle w:val="null3"/>
              <w:ind w:firstLine="482"/>
              <w:jc w:val="both"/>
            </w:pPr>
            <w:r>
              <w:rPr>
                <w:rFonts w:ascii="仿宋_GB2312" w:hAnsi="仿宋_GB2312" w:cs="仿宋_GB2312" w:eastAsia="仿宋_GB2312"/>
                <w:sz w:val="24"/>
                <w:b/>
              </w:rPr>
              <w:t>三、技术要求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公益宣传片制作</w:t>
            </w:r>
          </w:p>
          <w:p>
            <w:pPr>
              <w:pStyle w:val="null3"/>
              <w:ind w:firstLine="480"/>
              <w:jc w:val="both"/>
            </w:pPr>
            <w:r>
              <w:rPr>
                <w:rFonts w:ascii="仿宋_GB2312" w:hAnsi="仿宋_GB2312" w:cs="仿宋_GB2312" w:eastAsia="仿宋_GB2312"/>
                <w:sz w:val="24"/>
              </w:rPr>
              <w:t>策划层面：根据拍摄主题科学策划，合理布局，画面丰富，取景多元化；</w:t>
            </w:r>
          </w:p>
          <w:p>
            <w:pPr>
              <w:pStyle w:val="null3"/>
              <w:ind w:firstLine="480"/>
              <w:jc w:val="both"/>
            </w:pPr>
            <w:r>
              <w:rPr>
                <w:rFonts w:ascii="仿宋_GB2312" w:hAnsi="仿宋_GB2312" w:cs="仿宋_GB2312" w:eastAsia="仿宋_GB2312"/>
                <w:sz w:val="24"/>
              </w:rPr>
              <w:t>画质与格式：分辨率</w:t>
            </w:r>
            <w:r>
              <w:rPr>
                <w:rFonts w:ascii="仿宋_GB2312" w:hAnsi="仿宋_GB2312" w:cs="仿宋_GB2312" w:eastAsia="仿宋_GB2312"/>
                <w:sz w:val="24"/>
              </w:rPr>
              <w:t>:1920*1080</w:t>
            </w:r>
            <w:r>
              <w:rPr>
                <w:rFonts w:ascii="仿宋_GB2312" w:hAnsi="仿宋_GB2312" w:cs="仿宋_GB2312" w:eastAsia="仿宋_GB2312"/>
                <w:sz w:val="24"/>
              </w:rPr>
              <w:t>，横屏拍摄，成片格式为</w:t>
            </w:r>
            <w:r>
              <w:rPr>
                <w:rFonts w:ascii="仿宋_GB2312" w:hAnsi="仿宋_GB2312" w:cs="仿宋_GB2312" w:eastAsia="仿宋_GB2312"/>
                <w:sz w:val="24"/>
              </w:rPr>
              <w:t>MP4 常用格式，拍摄完毕须交付所拍全部素材，格式为 MXF；</w:t>
            </w:r>
          </w:p>
          <w:p>
            <w:pPr>
              <w:pStyle w:val="null3"/>
              <w:ind w:firstLine="480"/>
              <w:jc w:val="both"/>
            </w:pPr>
            <w:r>
              <w:rPr>
                <w:rFonts w:ascii="仿宋_GB2312" w:hAnsi="仿宋_GB2312" w:cs="仿宋_GB2312" w:eastAsia="仿宋_GB2312"/>
                <w:sz w:val="24"/>
              </w:rPr>
              <w:t>视听标准：构图完整，色彩搭配协调，镜头平稳，段落、镜头过渡自然，有较强的视觉冲击和传播效果；电平小于等于</w:t>
            </w:r>
            <w:r>
              <w:rPr>
                <w:rFonts w:ascii="仿宋_GB2312" w:hAnsi="仿宋_GB2312" w:cs="仿宋_GB2312" w:eastAsia="仿宋_GB2312"/>
                <w:sz w:val="24"/>
              </w:rPr>
              <w:t>- 6db，瞬间不超过0db。</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动漫短片制作</w:t>
            </w:r>
          </w:p>
          <w:p>
            <w:pPr>
              <w:pStyle w:val="null3"/>
              <w:ind w:firstLine="480"/>
              <w:jc w:val="both"/>
            </w:pPr>
            <w:r>
              <w:rPr>
                <w:rFonts w:ascii="仿宋_GB2312" w:hAnsi="仿宋_GB2312" w:cs="仿宋_GB2312" w:eastAsia="仿宋_GB2312"/>
                <w:sz w:val="24"/>
              </w:rPr>
              <w:t>策划要求：深入理解献血的意义和目标，提出新颖、吸引人且富有感染力的创意概念和故事脚本；制定详细策划方案，含主题、风格、结构和传播策略；具备一定受众调查基础，对传播效果有预判，能产生较好社会影响力，符合热门平台播放要求，无不良舆论导向。</w:t>
            </w:r>
          </w:p>
          <w:p>
            <w:pPr>
              <w:pStyle w:val="null3"/>
              <w:ind w:firstLine="480"/>
              <w:jc w:val="both"/>
            </w:pPr>
            <w:r>
              <w:rPr>
                <w:rFonts w:ascii="仿宋_GB2312" w:hAnsi="仿宋_GB2312" w:cs="仿宋_GB2312" w:eastAsia="仿宋_GB2312"/>
                <w:sz w:val="24"/>
              </w:rPr>
              <w:t>制作技术：熟练掌握</w:t>
            </w:r>
            <w:r>
              <w:rPr>
                <w:rFonts w:ascii="仿宋_GB2312" w:hAnsi="仿宋_GB2312" w:cs="仿宋_GB2312" w:eastAsia="仿宋_GB2312"/>
                <w:sz w:val="24"/>
              </w:rPr>
              <w:t>2D 动画、3D 动画、手绘动画等多种制作技术，按需选择适配手段；画面质量清晰、流畅，色彩搭配协调，人物形象和场景设计生动逼真；声画同步，整体色彩舒适，可看性强。</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短视频制作</w:t>
            </w:r>
          </w:p>
          <w:p>
            <w:pPr>
              <w:pStyle w:val="null3"/>
              <w:ind w:firstLine="480"/>
              <w:jc w:val="both"/>
            </w:pPr>
            <w:r>
              <w:rPr>
                <w:rFonts w:ascii="仿宋_GB2312" w:hAnsi="仿宋_GB2312" w:cs="仿宋_GB2312" w:eastAsia="仿宋_GB2312"/>
                <w:sz w:val="24"/>
              </w:rPr>
              <w:t>风格要求：对标热门社交平台主流拍摄剪辑风格，精准把握快节奏转场、沉浸式运镜、强情绪卡点等传播特点；</w:t>
            </w:r>
          </w:p>
          <w:p>
            <w:pPr>
              <w:pStyle w:val="null3"/>
              <w:ind w:firstLine="480"/>
              <w:jc w:val="both"/>
            </w:pPr>
            <w:r>
              <w:rPr>
                <w:rFonts w:ascii="仿宋_GB2312" w:hAnsi="仿宋_GB2312" w:cs="仿宋_GB2312" w:eastAsia="仿宋_GB2312"/>
                <w:sz w:val="24"/>
              </w:rPr>
              <w:t>内容要求：紧扣无偿献血公益宣传核心主题，坚守正能量导向，以年轻化、接地气的视听表达科普献血知识、传递暖心事迹，引发大众情感共鸣，实现破圈传播；</w:t>
            </w:r>
          </w:p>
          <w:p>
            <w:pPr>
              <w:pStyle w:val="null3"/>
              <w:ind w:firstLine="480"/>
              <w:jc w:val="both"/>
            </w:pPr>
            <w:r>
              <w:rPr>
                <w:rFonts w:ascii="仿宋_GB2312" w:hAnsi="仿宋_GB2312" w:cs="仿宋_GB2312" w:eastAsia="仿宋_GB2312"/>
                <w:sz w:val="24"/>
              </w:rPr>
              <w:t>格式要求：声音稳定，画面流畅，成片为</w:t>
            </w:r>
            <w:r>
              <w:rPr>
                <w:rFonts w:ascii="仿宋_GB2312" w:hAnsi="仿宋_GB2312" w:cs="仿宋_GB2312" w:eastAsia="仿宋_GB2312"/>
                <w:sz w:val="24"/>
              </w:rPr>
              <w:t>MP4等常用播放器可播放的格式。</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售后服务</w:t>
            </w:r>
          </w:p>
          <w:p>
            <w:pPr>
              <w:pStyle w:val="null3"/>
              <w:ind w:firstLine="480"/>
              <w:jc w:val="both"/>
            </w:pPr>
            <w:r>
              <w:rPr>
                <w:rFonts w:ascii="仿宋_GB2312" w:hAnsi="仿宋_GB2312" w:cs="仿宋_GB2312" w:eastAsia="仿宋_GB2312"/>
                <w:sz w:val="24"/>
              </w:rPr>
              <w:t>对制作完成的视频成品存在的画质、音效、剪辑等质量问题，及时响应并负责修改优化；</w:t>
            </w:r>
          </w:p>
          <w:p>
            <w:pPr>
              <w:pStyle w:val="null3"/>
              <w:ind w:firstLine="480"/>
              <w:jc w:val="both"/>
            </w:pPr>
            <w:r>
              <w:rPr>
                <w:rFonts w:ascii="仿宋_GB2312" w:hAnsi="仿宋_GB2312" w:cs="仿宋_GB2312" w:eastAsia="仿宋_GB2312"/>
                <w:sz w:val="24"/>
              </w:rPr>
              <w:t>按采购单位要求交付全部素材及成品，配合完成视频在各平台的发布适配调整。</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合规与保密</w:t>
            </w:r>
          </w:p>
          <w:p>
            <w:pPr>
              <w:pStyle w:val="null3"/>
              <w:ind w:firstLine="480"/>
              <w:jc w:val="both"/>
            </w:pPr>
            <w:r>
              <w:rPr>
                <w:rFonts w:ascii="仿宋_GB2312" w:hAnsi="仿宋_GB2312" w:cs="仿宋_GB2312" w:eastAsia="仿宋_GB2312"/>
                <w:sz w:val="24"/>
              </w:rPr>
              <w:t>遵守相关法律法规，确保视频制作内容的合法性和合规性，无任何负面、违规导向；</w:t>
            </w:r>
          </w:p>
          <w:p>
            <w:pPr>
              <w:pStyle w:val="null3"/>
              <w:ind w:firstLine="480"/>
              <w:jc w:val="both"/>
            </w:pPr>
            <w:r>
              <w:rPr>
                <w:rFonts w:ascii="仿宋_GB2312" w:hAnsi="仿宋_GB2312" w:cs="仿宋_GB2312" w:eastAsia="仿宋_GB2312"/>
                <w:sz w:val="24"/>
              </w:rPr>
              <w:t>对血站提供的宣传资料、素材、策划思路及相关数据严格保密，不得泄露给第三方，未经允许不得将相关素材及成品用于其他商业用途。</w:t>
            </w:r>
          </w:p>
          <w:p>
            <w:pPr>
              <w:pStyle w:val="null3"/>
              <w:ind w:firstLine="480"/>
              <w:jc w:val="both"/>
            </w:pPr>
            <w:r>
              <w:rPr>
                <w:rFonts w:ascii="仿宋_GB2312" w:hAnsi="仿宋_GB2312" w:cs="仿宋_GB2312" w:eastAsia="仿宋_GB2312"/>
                <w:sz w:val="24"/>
              </w:rPr>
              <w:t>质量检测建立视频制作全流程质量把控体系，对文案脚本、拍摄素材、后期剪辑、特效包装、成品输出等各环节进行严格检查，确保每部视频成品符合技术标准和传播要求。</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沟通与协作</w:t>
            </w:r>
          </w:p>
          <w:p>
            <w:pPr>
              <w:pStyle w:val="null3"/>
              <w:ind w:firstLine="480"/>
              <w:jc w:val="both"/>
            </w:pPr>
            <w:r>
              <w:rPr>
                <w:rFonts w:ascii="仿宋_GB2312" w:hAnsi="仿宋_GB2312" w:cs="仿宋_GB2312" w:eastAsia="仿宋_GB2312"/>
                <w:sz w:val="24"/>
              </w:rPr>
              <w:t>建立良好的沟通机制，及时回应采购单位的咨询和需求，理解并尊重意见和建议；</w:t>
            </w:r>
          </w:p>
          <w:p>
            <w:pPr>
              <w:pStyle w:val="null3"/>
              <w:ind w:firstLine="480"/>
              <w:jc w:val="both"/>
            </w:pPr>
            <w:r>
              <w:rPr>
                <w:rFonts w:ascii="仿宋_GB2312" w:hAnsi="仿宋_GB2312" w:cs="仿宋_GB2312" w:eastAsia="仿宋_GB2312"/>
                <w:sz w:val="24"/>
              </w:rPr>
              <w:t>与采购单位保持密切协作，及时同步项目制作进展，根据反馈及时调整优化视频策划和制作方案。</w:t>
            </w:r>
          </w:p>
          <w:p>
            <w:pPr>
              <w:pStyle w:val="null3"/>
              <w:ind w:firstLine="482"/>
              <w:jc w:val="left"/>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1.设备要求</w:t>
            </w:r>
          </w:p>
          <w:p>
            <w:pPr>
              <w:pStyle w:val="null3"/>
              <w:ind w:firstLine="480"/>
              <w:jc w:val="both"/>
            </w:pPr>
            <w:r>
              <w:rPr>
                <w:rFonts w:ascii="仿宋_GB2312" w:hAnsi="仿宋_GB2312" w:cs="仿宋_GB2312" w:eastAsia="仿宋_GB2312"/>
                <w:sz w:val="24"/>
              </w:rPr>
              <w:t>具备专业、性能良好的影视制作设备，包含拍摄、灯光、收音、后期剪辑、调色、特效制作等全套设备，设备运行稳定，能满足</w:t>
            </w:r>
            <w:r>
              <w:rPr>
                <w:rFonts w:ascii="仿宋_GB2312" w:hAnsi="仿宋_GB2312" w:cs="仿宋_GB2312" w:eastAsia="仿宋_GB2312"/>
                <w:sz w:val="24"/>
              </w:rPr>
              <w:t>4K 宣传片、动漫、短视频的全流程制作需求。</w:t>
            </w:r>
          </w:p>
          <w:p>
            <w:pPr>
              <w:pStyle w:val="null3"/>
              <w:ind w:firstLine="480"/>
              <w:jc w:val="both"/>
            </w:pPr>
            <w:r>
              <w:rPr>
                <w:rFonts w:ascii="仿宋_GB2312" w:hAnsi="仿宋_GB2312" w:cs="仿宋_GB2312" w:eastAsia="仿宋_GB2312"/>
                <w:sz w:val="24"/>
              </w:rPr>
              <w:t>2.人员服务规范</w:t>
            </w:r>
          </w:p>
          <w:p>
            <w:pPr>
              <w:pStyle w:val="null3"/>
              <w:ind w:firstLine="480"/>
              <w:jc w:val="both"/>
            </w:pPr>
            <w:r>
              <w:rPr>
                <w:rFonts w:ascii="仿宋_GB2312" w:hAnsi="仿宋_GB2312" w:cs="仿宋_GB2312" w:eastAsia="仿宋_GB2312"/>
                <w:sz w:val="24"/>
              </w:rPr>
              <w:t>所有创作及制作人员提前熟悉无偿献血宣传背景及献血者群体特点，在拍摄过程中进入献血大厅等特定环境时，严格遵守血站相关制度和管理要求；</w:t>
            </w:r>
          </w:p>
          <w:p>
            <w:pPr>
              <w:pStyle w:val="null3"/>
              <w:ind w:firstLine="480"/>
              <w:jc w:val="both"/>
            </w:pPr>
            <w:r>
              <w:rPr>
                <w:rFonts w:ascii="仿宋_GB2312" w:hAnsi="仿宋_GB2312" w:cs="仿宋_GB2312" w:eastAsia="仿宋_GB2312"/>
                <w:sz w:val="24"/>
              </w:rPr>
              <w:t>各岗位人员具备良好的职业素养、专业能力和团队协作能力，确保视频制作各环节高效推进；</w:t>
            </w:r>
          </w:p>
          <w:p>
            <w:pPr>
              <w:pStyle w:val="null3"/>
              <w:ind w:firstLine="480"/>
              <w:jc w:val="both"/>
            </w:pPr>
            <w:r>
              <w:rPr>
                <w:rFonts w:ascii="仿宋_GB2312" w:hAnsi="仿宋_GB2312" w:cs="仿宋_GB2312" w:eastAsia="仿宋_GB2312"/>
                <w:sz w:val="24"/>
              </w:rPr>
              <w:t>配备专人负责与采购单位的日常对接，及时反馈制作进度，妥善处理制作过程中的各类问题。</w:t>
            </w:r>
          </w:p>
          <w:p>
            <w:pPr>
              <w:pStyle w:val="null3"/>
              <w:ind w:firstLine="480"/>
              <w:jc w:val="both"/>
            </w:pPr>
            <w:r>
              <w:rPr>
                <w:rFonts w:ascii="仿宋_GB2312" w:hAnsi="仿宋_GB2312" w:cs="仿宋_GB2312" w:eastAsia="仿宋_GB2312"/>
                <w:sz w:val="24"/>
              </w:rPr>
              <w:t>3.服务响应要求</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rPr>
              <w:t>15 个工作日内提交各类视频的分镜头脚本，与采购单位商定拍摄及制作细节，召开拍摄前碰头会议，确定具体制作内容及细节，经确认后执行；</w:t>
            </w:r>
          </w:p>
          <w:p>
            <w:pPr>
              <w:pStyle w:val="null3"/>
              <w:ind w:firstLine="482"/>
              <w:jc w:val="both"/>
            </w:pPr>
            <w:r>
              <w:rPr>
                <w:rFonts w:ascii="仿宋_GB2312" w:hAnsi="仿宋_GB2312" w:cs="仿宋_GB2312" w:eastAsia="仿宋_GB2312"/>
                <w:sz w:val="24"/>
              </w:rPr>
              <w:t>拍摄前</w:t>
            </w:r>
            <w:r>
              <w:rPr>
                <w:rFonts w:ascii="仿宋_GB2312" w:hAnsi="仿宋_GB2312" w:cs="仿宋_GB2312" w:eastAsia="仿宋_GB2312"/>
                <w:sz w:val="24"/>
              </w:rPr>
              <w:t>5 个工作日，与采购单位共同召开协调会，确认最终制作细节、拍摄安排及交付节点。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自签订合同起一年，期间完成所有无偿献血主题公益宣传片、动漫、短视频的策划、拍摄、制作及成品交付等相关服务。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结束后，供应商提供项目总结报告（含视频制作完成情况、效果评价报告等）、符合要求的尾款发票，采购方按验收标准验收合格后付款。若验收不合格，供应商需在指定期限内整改，整改合格后重新申请验收及付款。效果评价要求供应商需完成项目效果评价并提交正式报告，评价指标需真实可追溯，具体包括：（1）内容质量：视频能精准传递无偿献血公益内核，兼具专业性与感染力，引发公众情感共鸣，无负面舆论；创意贴合全年龄段受众，语言通俗生动，有效科普献血知识、纠正献血误区；传播效果实现高浏览量与好口碑的双重目标，助力扩大无偿献血公益宣传覆盖面；（2）受众反馈：收集各平台观众反馈意见，评估视频对公众无偿献血认知度的提升效果，总结对献血公益事业的推动作用及社会正面反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乙方完成项目主体内容并交付，经甲方初步验收合格，且乙方提交阶段性验收单及服务总结报告</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项目整体交付完毕、经甲方最终验收合格，乙方提交最终验收单及服务总结报告后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因3.3.5支付约定为固定格式，本项目支付方式以此为准：双方约定按4:5:1比例分期支付，具体支付方式如下：（1）预付款：合同签订后5个工作日内，甲方向乙方支付合同总价款的40%，作为项目启动预付款，乙方收款后按约定开展工作。（2）进度款：乙方完成项目主体内容并交付，经甲方初步验收合格，且乙方提交阶段性验收单及服务总结报告后5个工作日内，甲方向乙方支付合同总价款的50%。（3）尾款：项目整体交付完毕、经甲方最终验收合格，乙方提交最终验收单及服务总结报告后5个工作日内，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4）付款方式为银行转账。（5）若项目阶段性或最终成果验收不合格，乙方应在甲方要求的期限内无偿整改至合格；逾期未整改或整改后仍不合格的，甲方有权暂缓支付相应款项，直至合格为止，由此造成的一切损失由乙方承担。 。 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4、异常低价投标（响应）审查程序 4.1、政府采购评审中出现下列情形之一的，评审委员会应当启动异常低价投标（响应）审查程序： 4.1.1投标（响应）报价低于全部通过符合性审查供应商投标（响应）报价平均值50%的，即投标（响应）报价&lt;全部通过符合性审查供应商投标（响应）报价平均值×50%； 4.1.2.投标（响应）报价低于通过符合性审查的次低报价供应商投标（响应）报价50%的，即投标（响应）报价&lt;通过符合性审查的次低报价供应商投标（响应）报价×50%； 4.1.3.投标（响应）报价低于采购项目最高限价45%的，即投标（响应）报价&lt;采购项目最高限价×45%； 4.1.4.评审委员会基于专业判断，认为供应商报价过低，有可能影响产品质量或者不能诚信履约的其他情形。 4.2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 自然人提供身份证明文件）； 2、具有良好的商业信誉和健全的财务会计制度，提供2024年度或2025年度经审计的财务报告，或其磋商前六个月内基本户开户银行出具的资信证明或担保机构出具的投标担保函。 3、具有履行合同所必需的设备和专业技术能力的书面声明； 4、有依法缴纳税收和社会保障资金的良好记录（提供磋商前12个月内任一月份的社保和缴纳税收的证明，依法不需要缴纳社会保障资金、免税或无须缴纳税款的供应商，应提供相关证明文件)； 5、参加政府采购活动前3年内在经营活动中没有 重大违法记录的书面声明。</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法定代表人/负责人直接参加的，需递交《法定代表人/负责人身份证明》；法定代表人/负责人授权代表参加的，需递交《法定代表人/负责人授权书》及授权代表响应文件递交截止时间前近三个月（2026年2月1日至今）社会保险缴纳证明。</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本项目不接受西安市中心血站职工及其亲属投资开办的企业投标，提供承诺书。</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供应商提供非联合体投标承诺书</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）政府采购严重违法失信行为记录名单中被财政部门禁止参加政府采购活动的供应商。采购人或采购代理机构在磋商截止后当日通过“信用中国”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满足磋商文件商务要求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满足磋商文件技术要求</w:t>
            </w:r>
          </w:p>
        </w:tc>
        <w:tc>
          <w:tcPr>
            <w:tcW w:type="dxa" w:w="1661"/>
          </w:tcPr>
          <w:p>
            <w:pPr>
              <w:pStyle w:val="null3"/>
            </w:pPr>
            <w:r>
              <w:rPr>
                <w:rFonts w:ascii="仿宋_GB2312" w:hAnsi="仿宋_GB2312" w:cs="仿宋_GB2312" w:eastAsia="仿宋_GB2312"/>
              </w:rPr>
              <w:t>技术条款偏离表.docx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供应商针对本项目提供服务方案，内容包括：①服务内容及标准；②总体服务方案。 二、评审标准 1、完整性：方案须全面合理，架构完整对评审内容中的各项要求有详细描述； 2、可实施性：切合本项目实际情况，实施步骤清晰、合理； 3、针对性：方案能够紧扣本项目实际情况，内容科学合理。 三、赋分依据（满分10分）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供应商针对本项目提供服务实施方案，内容包括：①整体策划方案；②公益宣传片制作方案；③动漫短片制作方案；④短视频制作方案。 二、评审标准 1、完整性：方案须全面合理，架构完整对评审内容中的各项要求有详细描述； 2、可实施性：切合本项目实际情况，实施步骤清晰、合理； 针对性：方案能够紧扣本项目实际情况，内容科学合理。 三、赋分依据（满分16分）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供应商针对本项目提供服务保障措施，内容包括：①组织保障措施；②进度保障措施；③质量管理保障措施。 二、评审标准 1、完整性：方案须全面合理，架构完整对评审内容中的各项要求有详细描述； 2、可实施性：切合本项目实际情况，实施步骤清晰、合理； 3、针对性：方案能够紧扣本项目实际情况，内容科学合理。 三、赋分依据（满分12分）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一、评审内容 供应商针对本项目特点提供服务团队人员配置，内容包含:①人员配置清单；②岗位分工、职责；提供相关证明资料（包括但不限于人员姓名、工作职务及职能、身份证、工作经验等）。 二、评审标准 1、完整性: 方案须全面合理，架构完整对评审内容中的各项要求有详细描述； 2、可实施性：切合本项目实际情况，实施步骤清晰、合理；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结合本项目的实际，供应商提供服务承诺以及响应方案，内容包含：①确保工作有效开展的服务质量保障；②服务承诺（包括但不限于整个项目服务期限内的质量、人员到位情况、服务响应时间、配合程度）。 二、评审标准 1、完整性：内容必须全面，对评审内容中的各项要求有详细描述； 2、可实施性：切合项目具体情况，提出责任明确、要求具体的方案；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拟投入设备方案</w:t>
            </w:r>
          </w:p>
        </w:tc>
        <w:tc>
          <w:tcPr>
            <w:tcW w:type="dxa" w:w="2492"/>
          </w:tcPr>
          <w:p>
            <w:pPr>
              <w:pStyle w:val="null3"/>
            </w:pPr>
            <w:r>
              <w:rPr>
                <w:rFonts w:ascii="仿宋_GB2312" w:hAnsi="仿宋_GB2312" w:cs="仿宋_GB2312" w:eastAsia="仿宋_GB2312"/>
              </w:rPr>
              <w:t>一、评审内容 结合本项目的实际，供应商提供相关拟投入设备方案（包括但不限于影视制作设备，包含拍摄、灯光、收音、后期剪辑、调色、特效制作等全套设备等）。 二、评审标准 1、完整性：内容必须全面，对评审内容中的各项要求有详细描述； 2、可实施性：切合项目具体情况，提出责任明确、要求具体的方案； 3、针对性：方案能够紧扣项目实际情况，内容科学合理。 三、赋分标准（满分7分） 以上内容均应专门针对本项目实际需求编制，方案内容完整、可实施性强的得7分。若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一、评审内容 结合本项目的实际，供应商提供服务进度计划与安排，内容包含：①工作进度计划（包括但不限于项目服务期间的各阶段时间需求确认、方案制定等内容）；②确保工作时效性的安排（包括但不限于项目拍摄周期、制作周期、控制管理、协调管理等内容）。 二、评审标准 1、完整性：内容必须全面，对评审内容中的各项要求有详细描述； 2、可实施性：切合项目具体情况，提出责任明确、要求具体的方案；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提供2023年1月1日至今供应商承担的同类项目业绩（以响应文件中提供的完整合同复印件为准），每提供1份得1分，最多得5分。未提供或提供材料不全不得分。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详见附件：相关资格证明.docx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