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版本号：MZ2026-CS101420260415001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承办市级比赛</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MZ2026-CS1014</w:t>
      </w:r>
      <w:r>
        <w:br/>
      </w:r>
      <w:r>
        <w:br/>
      </w:r>
      <w:r>
        <w:br/>
      </w:r>
    </w:p>
    <w:p>
      <w:pPr>
        <w:pStyle w:val="null3"/>
        <w:jc w:val="center"/>
        <w:outlineLvl w:val="2"/>
      </w:pPr>
      <w:r>
        <w:rPr>
          <w:rFonts w:ascii="仿宋_GB2312" w:hAnsi="仿宋_GB2312" w:cs="仿宋_GB2312" w:eastAsia="仿宋_GB2312"/>
          <w:sz w:val="28"/>
          <w:b/>
        </w:rPr>
        <w:t>西安市篮球排球网球运动管理中心</w:t>
      </w:r>
    </w:p>
    <w:p>
      <w:pPr>
        <w:pStyle w:val="null3"/>
        <w:jc w:val="center"/>
        <w:outlineLvl w:val="2"/>
      </w:pPr>
      <w:r>
        <w:rPr>
          <w:rFonts w:ascii="仿宋_GB2312" w:hAnsi="仿宋_GB2312" w:cs="仿宋_GB2312" w:eastAsia="仿宋_GB2312"/>
          <w:sz w:val="28"/>
          <w:b/>
        </w:rPr>
        <w:t>陕西明正招标有限公司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陕西明正招标有限公司</w:t>
      </w:r>
      <w:r>
        <w:rPr>
          <w:rFonts w:ascii="仿宋_GB2312" w:hAnsi="仿宋_GB2312" w:cs="仿宋_GB2312" w:eastAsia="仿宋_GB2312"/>
        </w:rPr>
        <w:t>（以下简称“代理机构”）受</w:t>
      </w:r>
      <w:r>
        <w:rPr>
          <w:rFonts w:ascii="仿宋_GB2312" w:hAnsi="仿宋_GB2312" w:cs="仿宋_GB2312" w:eastAsia="仿宋_GB2312"/>
        </w:rPr>
        <w:t>西安市篮球排球网球运动管理中心</w:t>
      </w:r>
      <w:r>
        <w:rPr>
          <w:rFonts w:ascii="仿宋_GB2312" w:hAnsi="仿宋_GB2312" w:cs="仿宋_GB2312" w:eastAsia="仿宋_GB2312"/>
        </w:rPr>
        <w:t>委托，拟对</w:t>
      </w:r>
      <w:r>
        <w:rPr>
          <w:rFonts w:ascii="仿宋_GB2312" w:hAnsi="仿宋_GB2312" w:cs="仿宋_GB2312" w:eastAsia="仿宋_GB2312"/>
        </w:rPr>
        <w:t>承办市级比赛</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MZ2026-CS1014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承办市级比赛</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2026年市西安市青少年篮球、排球、网球公开赛和2026年西安市篮球、三人篮球、排球、网球锦标赛提供全面的服务和支持，确保比赛顺利进行，供应商需提供包括但不限于场地设施布置、器材准备、物料及宣传类制作、劳务发放、用餐安排、医疗救护、媒体报道宣传制作等服务，本次采购分为5个采购包。具体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采购包1（2026年西安市青少年篮球公开赛）：属于专门面向中小企业采购。</w:t>
      </w:r>
    </w:p>
    <w:p>
      <w:pPr>
        <w:pStyle w:val="null3"/>
      </w:pPr>
      <w:r>
        <w:rPr>
          <w:rFonts w:ascii="仿宋_GB2312" w:hAnsi="仿宋_GB2312" w:cs="仿宋_GB2312" w:eastAsia="仿宋_GB2312"/>
        </w:rPr>
        <w:t>采购包2（2026年西安市青少年篮球锦标赛）：属于专门面向中小企业采购。</w:t>
      </w:r>
    </w:p>
    <w:p>
      <w:pPr>
        <w:pStyle w:val="null3"/>
      </w:pPr>
      <w:r>
        <w:rPr>
          <w:rFonts w:ascii="仿宋_GB2312" w:hAnsi="仿宋_GB2312" w:cs="仿宋_GB2312" w:eastAsia="仿宋_GB2312"/>
        </w:rPr>
        <w:t>采购包3（2026年西安市青少年三人篮球锦标赛）：属于专门面向中小企业采购。</w:t>
      </w:r>
    </w:p>
    <w:p>
      <w:pPr>
        <w:pStyle w:val="null3"/>
      </w:pPr>
      <w:r>
        <w:rPr>
          <w:rFonts w:ascii="仿宋_GB2312" w:hAnsi="仿宋_GB2312" w:cs="仿宋_GB2312" w:eastAsia="仿宋_GB2312"/>
        </w:rPr>
        <w:t>采购包4（2026年西安市青少年排球锦标赛和公开赛）：属于专门面向中小企业采购。</w:t>
      </w:r>
    </w:p>
    <w:p>
      <w:pPr>
        <w:pStyle w:val="null3"/>
      </w:pPr>
      <w:r>
        <w:rPr>
          <w:rFonts w:ascii="仿宋_GB2312" w:hAnsi="仿宋_GB2312" w:cs="仿宋_GB2312" w:eastAsia="仿宋_GB2312"/>
        </w:rPr>
        <w:t>采购包5（2026年西安市青少年网球锦标赛和公开赛）：属于专门面向中小企业采购。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书：法定代表人直接参加磋商的，须出具法定代表人身份证明及法人身份证；法定代表人授权代表参加磋商的，须出具法定代表人授权书及法人和授权代表身份证，并提供磋商前三个月内任意一个月授权代表在本单位的社保缴纳证明；</w:t>
      </w:r>
    </w:p>
    <w:p>
      <w:pPr>
        <w:pStyle w:val="null3"/>
      </w:pPr>
      <w:r>
        <w:rPr>
          <w:rFonts w:ascii="仿宋_GB2312" w:hAnsi="仿宋_GB2312" w:cs="仿宋_GB2312" w:eastAsia="仿宋_GB2312"/>
        </w:rPr>
        <w:t>2、符合《财政部关于在政府采购活动中查询及使用信用记录有关问题的通知》（财库【2016】125号）文件中信用查询的要求：不得为“信用中国”网站（www.creditchina.gov.cn）中列入失信被执行人和重大税收违法失信主体的供应商，不得为中国政府采购网（www.ccgp.gov.cn）政府采购严重违法失信行为记录名单中被财政部门禁止参加政府采购活动的供应商，以磋商后的网站查询记录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身份证明/法定代表人授权书：法定代表人直接参加磋商的，须出具法定代表人身份证明及法人身份证；法定代表人授权代表参加磋商的，须出具法定代表人授权书及法人和授权代表身份证，并提供磋商前三个月内任意一个月授权代表在本单位的社保缴纳证明；</w:t>
      </w:r>
    </w:p>
    <w:p>
      <w:pPr>
        <w:pStyle w:val="null3"/>
      </w:pPr>
      <w:r>
        <w:rPr>
          <w:rFonts w:ascii="仿宋_GB2312" w:hAnsi="仿宋_GB2312" w:cs="仿宋_GB2312" w:eastAsia="仿宋_GB2312"/>
        </w:rPr>
        <w:t>2、符合《财政部关于在政府采购活动中查询及使用信用记录有关问题的通知》（财库【2016】125号）文件中信用查询的要求：不得为“信用中国”网站（www.creditchina.gov.cn）中列入失信被执行人和重大税收违法失信主体的供应商，不得为中国政府采购网（www.ccgp.gov.cn）政府采购严重违法失信行为记录名单中被财政部门禁止参加政府采购活动的供应商，以磋商后的网站查询记录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身份证明/法定代表人授权书：法定代表人直接参加磋商的，须出具法定代表人身份证明及法人身份证；法定代表人授权代表参加磋商的，须出具法定代表人授权书及法人和授权代表身份证，并提供磋商前三个月内任意一个月授权代表在本单位的社保缴纳证明；</w:t>
      </w:r>
    </w:p>
    <w:p>
      <w:pPr>
        <w:pStyle w:val="null3"/>
      </w:pPr>
      <w:r>
        <w:rPr>
          <w:rFonts w:ascii="仿宋_GB2312" w:hAnsi="仿宋_GB2312" w:cs="仿宋_GB2312" w:eastAsia="仿宋_GB2312"/>
        </w:rPr>
        <w:t>2、符合《财政部关于在政府采购活动中查询及使用信用记录有关问题的通知》（财库【2016】125号）文件中信用查询的要求：不得为“信用中国”网站（www.creditchina.gov.cn）中列入失信被执行人和重大税收违法失信主体的供应商，不得为中国政府采购网（www.ccgp.gov.cn）政府采购严重违法失信行为记录名单中被财政部门禁止参加政府采购活动的供应商，以磋商后的网站查询记录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法定代表人身份证明/法定代表人授权书：法定代表人直接参加磋商的，须出具法定代表人身份证明及法人身份证；法定代表人授权代表参加磋商的，须出具法定代表人授权书及法人和授权代表身份证，并提供磋商前三个月内任意一个月授权代表在本单位的社保缴纳证明；</w:t>
      </w:r>
    </w:p>
    <w:p>
      <w:pPr>
        <w:pStyle w:val="null3"/>
      </w:pPr>
      <w:r>
        <w:rPr>
          <w:rFonts w:ascii="仿宋_GB2312" w:hAnsi="仿宋_GB2312" w:cs="仿宋_GB2312" w:eastAsia="仿宋_GB2312"/>
        </w:rPr>
        <w:t>2、符合《财政部关于在政府采购活动中查询及使用信用记录有关问题的通知》（财库【2016】125号）文件中信用查询的要求：不得为“信用中国”网站（www.creditchina.gov.cn）中列入失信被执行人和重大税收违法失信主体的供应商，不得为中国政府采购网（www.ccgp.gov.cn）政府采购严重违法失信行为记录名单中被财政部门禁止参加政府采购活动的供应商，以磋商后的网站查询记录为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法定代表人身份证明/法定代表人授权书：法定代表人直接参加磋商的，须出具法定代表人身份证明及法人身份证；法定代表人授权代表参加磋商的，须出具法定代表人授权书及法人和授权代表身份证，并提供磋商前三个月内任意一个月授权代表在本单位的社保缴纳证明；</w:t>
      </w:r>
    </w:p>
    <w:p>
      <w:pPr>
        <w:pStyle w:val="null3"/>
      </w:pPr>
      <w:r>
        <w:rPr>
          <w:rFonts w:ascii="仿宋_GB2312" w:hAnsi="仿宋_GB2312" w:cs="仿宋_GB2312" w:eastAsia="仿宋_GB2312"/>
        </w:rPr>
        <w:t>2、符合《财政部关于在政府采购活动中查询及使用信用记录有关问题的通知》（财库【2016】125号）文件中信用查询的要求：不得为“信用中国”网站（www.creditchina.gov.cn）中列入失信被执行人和重大税收违法失信主体的供应商，不得为中国政府采购网（www.ccgp.gov.cn）政府采购严重违法失信行为记录名单中被财政部门禁止参加政府采购活动的供应商，以磋商后的网站查询记录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西安市篮球排球网球运动管理中心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西安市灞桥区港务西路与秦汉大道交叉口北900米路东</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02988060626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陕西明正招标有限公司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西安市雁塔区二环南路西段88号老三届世纪星大厦30层AB座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冯瑶 韩微 张玉洁 乔艳 韩乐乐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029-87551608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采购包1：158,780.00元</w:t>
            </w:r>
          </w:p>
          <w:p>
            <w:pPr>
              <w:pStyle w:val="null3"/>
            </w:pPr>
            <w:r>
              <w:rPr>
                <w:rFonts w:ascii="仿宋_GB2312" w:hAnsi="仿宋_GB2312" w:cs="仿宋_GB2312" w:eastAsia="仿宋_GB2312"/>
              </w:rPr>
              <w:t>采购包2：115,900.00元</w:t>
            </w:r>
          </w:p>
          <w:p>
            <w:pPr>
              <w:pStyle w:val="null3"/>
            </w:pPr>
            <w:r>
              <w:rPr>
                <w:rFonts w:ascii="仿宋_GB2312" w:hAnsi="仿宋_GB2312" w:cs="仿宋_GB2312" w:eastAsia="仿宋_GB2312"/>
              </w:rPr>
              <w:t>采购包3：113,900.00元</w:t>
            </w:r>
          </w:p>
          <w:p>
            <w:pPr>
              <w:pStyle w:val="null3"/>
            </w:pPr>
            <w:r>
              <w:rPr>
                <w:rFonts w:ascii="仿宋_GB2312" w:hAnsi="仿宋_GB2312" w:cs="仿宋_GB2312" w:eastAsia="仿宋_GB2312"/>
              </w:rPr>
              <w:t>采购包4：154,000.00元</w:t>
            </w:r>
          </w:p>
          <w:p>
            <w:pPr>
              <w:pStyle w:val="null3"/>
            </w:pPr>
            <w:r>
              <w:rPr>
                <w:rFonts w:ascii="仿宋_GB2312" w:hAnsi="仿宋_GB2312" w:cs="仿宋_GB2312" w:eastAsia="仿宋_GB2312"/>
              </w:rPr>
              <w:t>采购包5：110,320.00元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招标代理服务费管理暂行办法〉的通知》（计价格【2002】1980号）、《国家发展和改革委员会办公厅关于招标代理服务收费有关问题的通知》（发改办价格〔2003〕857号）规定，每包不足叁仟按人民币叁仟元收取。 2、成交单位的代理服务费交纳信息 银行户名：陕西明正招标有限公司 开户银行：招商银行股份有限公司西安白沙路支行 账 号：129907967910101 联系人：韩乐乐 联系电话：029-87551611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西安市篮球排球网球运动管理中心</w:t>
      </w:r>
      <w:r>
        <w:rPr>
          <w:rFonts w:ascii="仿宋_GB2312" w:hAnsi="仿宋_GB2312" w:cs="仿宋_GB2312" w:eastAsia="仿宋_GB2312"/>
        </w:rPr>
        <w:t>和</w:t>
      </w:r>
      <w:r>
        <w:rPr>
          <w:rFonts w:ascii="仿宋_GB2312" w:hAnsi="仿宋_GB2312" w:cs="仿宋_GB2312" w:eastAsia="仿宋_GB2312"/>
        </w:rPr>
        <w:t>陕西明正招标有限公司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西安市篮球排球网球运动管理中心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陕西明正招标有限公司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西安市篮球排球网球运动管理中心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陕西明正招标有限公司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组织，按照关于印发《政府采购需求管理办法》的通知（财库〔2021〕22号）和《财政部关于进一步加强政府采购需求和履约验收管理的指导意见》(财库〔2016〕205号)的要求以及采购文件、供应商的响应文件、采购合同的约定和现行国家标准、行业标准以及企业标准对每一项技术、服务、安全标准的履约情况进行确认。以满足采购人的实际需求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由采购人组织，按照关于印发《政府采购需求管理办法》的通知（财库〔2021〕22号）和《财政部关于进一步加强政府采购需求和履约验收管理的指导意见》(财库〔2016〕205号)的要求以及采购文件、供应商的响应文件、采购合同的约定和现行国家标准、行业标准以及企业标准对每一项技术、服务、安全标准的履约情况进行确认。以满足采购人的实际需求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由采购人组织，按照关于印发《政府采购需求管理办法》的通知（财库〔2021〕22号）和《财政部关于进一步加强政府采购需求和履约验收管理的指导意见》(财库〔2016〕205号)的要求以及采购文件、供应商的响应文件、采购合同的约定和现行国家标准、行业标准以及企业标准对每一项技术、服务、安全标准的履约情况进行确认。以满足采购人的实际需求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由采购人组织，按照关于印发《政府采购需求管理办法》的通知（财库〔2021〕22号）和《财政部关于进一步加强政府采购需求和履约验收管理的指导意见》(财库〔2016〕205号)的要求以及采购文件、供应商的响应文件、采购合同的约定和现行国家标准、行业标准以及企业标准对每一项技术、服务、安全标准的履约情况进行确认。以满足采购人的实际需求为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由采购人组织，按照关于印发《政府采购需求管理办法》的通知（财库〔2021〕22号）和《财政部关于进一步加强政府采购需求和履约验收管理的指导意见》(财库〔2016〕205号)的要求以及采购文件、供应商的响应文件、采购合同的约定和现行国家标准、行业标准以及企业标准对每一项技术、服务、安全标准的履约情况进行确认。以满足采购人的实际需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陕西明正招标有限公司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陕西明正招标有限公司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陕西明正招标有限公司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联系人：冯瑶 韩微</w:t>
      </w:r>
    </w:p>
    <w:p>
      <w:pPr>
        <w:pStyle w:val="null3"/>
      </w:pPr>
      <w:r>
        <w:rPr>
          <w:rFonts w:ascii="仿宋_GB2312" w:hAnsi="仿宋_GB2312" w:cs="仿宋_GB2312" w:eastAsia="仿宋_GB2312"/>
        </w:rPr>
        <w:t>联系电话：029-87551608</w:t>
      </w:r>
    </w:p>
    <w:p>
      <w:pPr>
        <w:pStyle w:val="null3"/>
      </w:pPr>
      <w:r>
        <w:rPr>
          <w:rFonts w:ascii="仿宋_GB2312" w:hAnsi="仿宋_GB2312" w:cs="仿宋_GB2312" w:eastAsia="仿宋_GB2312"/>
        </w:rPr>
        <w:t>地址：西安市雁塔区二环南路西段88号老三届世纪星大厦30层AB座</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2026年市西安市青少年篮球、排球、网球公开赛和2026年西安市篮球、三人篮球、排球、网球锦标赛提供全面的服务和支持，确保比赛顺利进行，供应商需提供包括但不限于场地设施布置、器材准备、物料及宣传类制作、劳务发放、用餐安排、医疗救护、媒体报道宣传制作等服务，本次采购分为5个采购包。具体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158,780.00</w:t>
      </w:r>
    </w:p>
    <w:p>
      <w:pPr>
        <w:pStyle w:val="null3"/>
      </w:pPr>
      <w:r>
        <w:rPr>
          <w:rFonts w:ascii="仿宋_GB2312" w:hAnsi="仿宋_GB2312" w:cs="仿宋_GB2312" w:eastAsia="仿宋_GB2312"/>
        </w:rPr>
        <w:t>采购包最高限价（元）: 158,780.00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2026年西安市青少年篮球公开赛</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158,780.00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115,900.00</w:t>
      </w:r>
    </w:p>
    <w:p>
      <w:pPr>
        <w:pStyle w:val="null3"/>
      </w:pPr>
      <w:r>
        <w:rPr>
          <w:rFonts w:ascii="仿宋_GB2312" w:hAnsi="仿宋_GB2312" w:cs="仿宋_GB2312" w:eastAsia="仿宋_GB2312"/>
        </w:rPr>
        <w:t>采购包最高限价（元）: 115,900.00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2026年西安市青少年篮球锦标赛</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115,900.00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113,900.00</w:t>
      </w:r>
    </w:p>
    <w:p>
      <w:pPr>
        <w:pStyle w:val="null3"/>
      </w:pPr>
      <w:r>
        <w:rPr>
          <w:rFonts w:ascii="仿宋_GB2312" w:hAnsi="仿宋_GB2312" w:cs="仿宋_GB2312" w:eastAsia="仿宋_GB2312"/>
        </w:rPr>
        <w:t>采购包最高限价（元）: 113,900.00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2026年西安市青少年三人篮球锦标赛</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113,900.00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154,000.00</w:t>
      </w:r>
    </w:p>
    <w:p>
      <w:pPr>
        <w:pStyle w:val="null3"/>
      </w:pPr>
      <w:r>
        <w:rPr>
          <w:rFonts w:ascii="仿宋_GB2312" w:hAnsi="仿宋_GB2312" w:cs="仿宋_GB2312" w:eastAsia="仿宋_GB2312"/>
        </w:rPr>
        <w:t>采购包最高限价（元）: 154,000.00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2026年西安市青少年排球锦标赛和公开赛</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154,000.00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110,320.00</w:t>
      </w:r>
    </w:p>
    <w:p>
      <w:pPr>
        <w:pStyle w:val="null3"/>
      </w:pPr>
      <w:r>
        <w:rPr>
          <w:rFonts w:ascii="仿宋_GB2312" w:hAnsi="仿宋_GB2312" w:cs="仿宋_GB2312" w:eastAsia="仿宋_GB2312"/>
        </w:rPr>
        <w:t>采购包最高限价（元）: 110,320.00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2026年西安市青少年网球锦标赛和公开赛</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110,320.00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标的名称：2026年西安市青少年篮球公开赛</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0"/>
              <w:gridCol w:w="244"/>
              <w:gridCol w:w="480"/>
              <w:gridCol w:w="710"/>
              <w:gridCol w:w="267"/>
              <w:gridCol w:w="267"/>
              <w:gridCol w:w="315"/>
              <w:gridCol w:w="267"/>
              <w:gridCol w:w="0"/>
            </w:tblGrid>
            <w:tr>
              <w:tc>
                <w:tcPr>
                  <w:tcW w:type="dxa" w:w="0"/>
                </w:tcPr>
                <w:p>
                  <w:pPr>
                    <w:pStyle w:val="null3"/>
                  </w:pPr>
                  <w:r>
                    <w:rPr>
                      <w:rFonts w:ascii="仿宋_GB2312" w:hAnsi="仿宋_GB2312" w:cs="仿宋_GB2312" w:eastAsia="仿宋_GB2312"/>
                      <w:sz w:val="19"/>
                    </w:rPr>
                    <w:t xml:space="preserve"> </w:t>
                  </w:r>
                </w:p>
              </w:tc>
              <w:tc>
                <w:tcPr>
                  <w:tcW w:type="dxa" w:w="2550"/>
                  <w:gridSpan w:val="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2026年西安市青少年篮球公开赛</w:t>
                  </w:r>
                </w:p>
              </w:tc>
            </w:tr>
            <w:tr>
              <w:tc>
                <w:tcPr>
                  <w:tcW w:type="dxa" w:w="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2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项目</w:t>
                  </w:r>
                </w:p>
              </w:tc>
              <w:tc>
                <w:tcPr>
                  <w:tcW w:type="dxa" w:w="4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内容</w:t>
                  </w:r>
                </w:p>
              </w:tc>
              <w:tc>
                <w:tcPr>
                  <w:tcW w:type="dxa" w:w="7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要求</w:t>
                  </w:r>
                </w:p>
              </w:tc>
              <w:tc>
                <w:tcPr>
                  <w:tcW w:type="dxa" w:w="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c>
                <w:tcPr>
                  <w:tcW w:type="dxa" w:w="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3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比赛天数系数（一次性必需品记为</w:t>
                  </w:r>
                  <w:r>
                    <w:rPr>
                      <w:rFonts w:ascii="仿宋_GB2312" w:hAnsi="仿宋_GB2312" w:cs="仿宋_GB2312" w:eastAsia="仿宋_GB2312"/>
                      <w:sz w:val="24"/>
                      <w:color w:val="000000"/>
                    </w:rPr>
                    <w:t>1）</w:t>
                  </w:r>
                </w:p>
              </w:tc>
              <w:tc>
                <w:tcPr>
                  <w:tcW w:type="dxa" w:w="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赛前准备</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竞赛编排系统</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tcBorders>
                    <w:top w:val="none" w:color="000000" w:sz="4"/>
                    <w:left w:val="singl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竞赛网络设备</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tcBorders>
                    <w:top w:val="none" w:color="000000" w:sz="4"/>
                    <w:left w:val="singl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秩序册</w:t>
                  </w:r>
                </w:p>
              </w:tc>
              <w:tc>
                <w:tcPr>
                  <w:tcW w:type="dxa" w:w="7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秩序册、成绩册、分秩序册的封皮</w:t>
                  </w:r>
                  <w:r>
                    <w:rPr>
                      <w:rFonts w:ascii="仿宋_GB2312" w:hAnsi="仿宋_GB2312" w:cs="仿宋_GB2312" w:eastAsia="仿宋_GB2312"/>
                      <w:sz w:val="24"/>
                      <w:color w:val="000000"/>
                    </w:rPr>
                    <w:t>、底页及相关部分需铜版纸、彩页</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册</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tcBorders>
                    <w:top w:val="none" w:color="000000" w:sz="4"/>
                    <w:left w:val="singl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成绩册</w:t>
                  </w:r>
                </w:p>
              </w:tc>
              <w:tc>
                <w:tcPr>
                  <w:tcW w:type="dxa" w:w="710"/>
                  <w:vMerge/>
                  <w:tcBorders>
                    <w:top w:val="none" w:color="000000" w:sz="4"/>
                    <w:left w:val="none" w:color="000000" w:sz="4"/>
                    <w:bottom w:val="single" w:color="000000" w:sz="4"/>
                    <w:right w:val="single" w:color="000000" w:sz="4"/>
                  </w:tcBorders>
                </w:tc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册</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氛围布置</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赛事主形象</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横幅</w:t>
                  </w:r>
                  <w:r>
                    <w:rPr>
                      <w:rFonts w:ascii="仿宋_GB2312" w:hAnsi="仿宋_GB2312" w:cs="仿宋_GB2312" w:eastAsia="仿宋_GB2312"/>
                      <w:sz w:val="24"/>
                      <w:color w:val="000000"/>
                    </w:rPr>
                    <w:t>、喷绘等</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tcBorders>
                    <w:top w:val="none" w:color="000000" w:sz="4"/>
                    <w:left w:val="singl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音响设备</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tcBorders>
                    <w:top w:val="none" w:color="000000" w:sz="4"/>
                    <w:left w:val="singl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场地</w:t>
                  </w:r>
                  <w:r>
                    <w:rPr>
                      <w:rFonts w:ascii="仿宋_GB2312" w:hAnsi="仿宋_GB2312" w:cs="仿宋_GB2312" w:eastAsia="仿宋_GB2312"/>
                      <w:sz w:val="24"/>
                      <w:color w:val="000000"/>
                    </w:rPr>
                    <w:t>A板</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环保</w:t>
                  </w:r>
                  <w:r>
                    <w:rPr>
                      <w:rFonts w:ascii="仿宋_GB2312" w:hAnsi="仿宋_GB2312" w:cs="仿宋_GB2312" w:eastAsia="仿宋_GB2312"/>
                      <w:sz w:val="24"/>
                      <w:color w:val="000000"/>
                    </w:rPr>
                    <w:t>A架</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114</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2m</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通用器材</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裁判桌椅</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1桌2椅为一套，五人制12套</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tcBorders>
                    <w:top w:val="none" w:color="000000" w:sz="4"/>
                    <w:left w:val="singl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成绩公告展示</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喷绘</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tcBorders>
                    <w:top w:val="none" w:color="000000" w:sz="4"/>
                    <w:left w:val="singl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计时器</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篮球专业计时器，五人制</w:t>
                  </w:r>
                  <w:r>
                    <w:rPr>
                      <w:rFonts w:ascii="仿宋_GB2312" w:hAnsi="仿宋_GB2312" w:cs="仿宋_GB2312" w:eastAsia="仿宋_GB2312"/>
                      <w:sz w:val="24"/>
                      <w:color w:val="000000"/>
                    </w:rPr>
                    <w:t>4套</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tcBorders>
                    <w:top w:val="none" w:color="000000" w:sz="4"/>
                    <w:left w:val="singl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比赛用水</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500ml</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5000</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tcBorders>
                    <w:top w:val="none" w:color="000000" w:sz="4"/>
                    <w:left w:val="singl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集体颁奖台</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竞赛专用及辅助器材</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对讲机</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专业频段</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对</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tcBorders>
                    <w:top w:val="none" w:color="000000" w:sz="4"/>
                    <w:left w:val="singl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夹板</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裁判执裁</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tcBorders>
                    <w:top w:val="none" w:color="000000" w:sz="4"/>
                    <w:left w:val="singl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笔</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按竞赛要求配备</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tcBorders>
                    <w:top w:val="none" w:color="000000" w:sz="4"/>
                    <w:left w:val="singl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打印纸</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85gA4打印纸</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tcBorders>
                    <w:top w:val="none" w:color="000000" w:sz="4"/>
                    <w:left w:val="singl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比赛用球</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5人制比赛用球（7号球5个，6号球5个）</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tcBorders>
                    <w:top w:val="none" w:color="000000" w:sz="4"/>
                    <w:left w:val="singl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参赛证</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运动员、裁判等，约</w:t>
                  </w:r>
                  <w:r>
                    <w:rPr>
                      <w:rFonts w:ascii="仿宋_GB2312" w:hAnsi="仿宋_GB2312" w:cs="仿宋_GB2312" w:eastAsia="仿宋_GB2312"/>
                      <w:sz w:val="24"/>
                      <w:color w:val="000000"/>
                    </w:rPr>
                    <w:t>800个，以具体实际数量为准</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人员配置</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裁判组</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不少于</w:t>
                  </w:r>
                  <w:r>
                    <w:rPr>
                      <w:rFonts w:ascii="仿宋_GB2312" w:hAnsi="仿宋_GB2312" w:cs="仿宋_GB2312" w:eastAsia="仿宋_GB2312"/>
                      <w:sz w:val="24"/>
                      <w:color w:val="000000"/>
                    </w:rPr>
                    <w:t>70人，根据竞赛日程天数+报到赛前培训联调1天+赛后收纳器材及总结1天进行核算</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tcBorders>
                    <w:top w:val="none" w:color="000000" w:sz="4"/>
                    <w:left w:val="singl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工作人员</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根据竞赛日程天数</w:t>
                  </w:r>
                  <w:r>
                    <w:rPr>
                      <w:rFonts w:ascii="仿宋_GB2312" w:hAnsi="仿宋_GB2312" w:cs="仿宋_GB2312" w:eastAsia="仿宋_GB2312"/>
                      <w:sz w:val="24"/>
                      <w:color w:val="000000"/>
                    </w:rPr>
                    <w:t>+报到赛前培训联调2天+赛后收纳器材及总结1天进行核算</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tcBorders>
                    <w:top w:val="none" w:color="000000" w:sz="4"/>
                    <w:left w:val="singl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医疗救护车</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救护车须配备司机、医生、护士各</w:t>
                  </w:r>
                  <w:r>
                    <w:rPr>
                      <w:rFonts w:ascii="仿宋_GB2312" w:hAnsi="仿宋_GB2312" w:cs="仿宋_GB2312" w:eastAsia="仿宋_GB2312"/>
                      <w:sz w:val="24"/>
                      <w:color w:val="000000"/>
                    </w:rPr>
                    <w:t>1名</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辆</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保险</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涉赛人员保险</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4"/>
                      <w:color w:val="000000"/>
                    </w:rPr>
                    <w:t>800人，所有涉赛人员（运动员、裁判、工作人员）均须购买保险，以实际情况为准</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媒体宣传</w:t>
                  </w:r>
                </w:p>
              </w:tc>
              <w:tc>
                <w:tcPr>
                  <w:tcW w:type="dxa" w:w="48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比赛媒体宣传摄像</w:t>
                  </w:r>
                </w:p>
              </w:tc>
              <w:tc>
                <w:tcPr>
                  <w:tcW w:type="dxa" w:w="71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官方媒体及网络媒体</w:t>
                  </w:r>
                </w:p>
              </w:tc>
              <w:tc>
                <w:tcPr>
                  <w:tcW w:type="dxa" w:w="26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31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会议室、功能房、运动员热身区</w:t>
                  </w:r>
                </w:p>
              </w:tc>
              <w:tc>
                <w:tcPr>
                  <w:tcW w:type="dxa" w:w="4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技术会</w:t>
                  </w:r>
                </w:p>
              </w:tc>
              <w:tc>
                <w:tcPr>
                  <w:tcW w:type="dxa" w:w="7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含多媒体及会场服务，容纳</w:t>
                  </w:r>
                  <w:r>
                    <w:rPr>
                      <w:rFonts w:ascii="仿宋_GB2312" w:hAnsi="仿宋_GB2312" w:cs="仿宋_GB2312" w:eastAsia="仿宋_GB2312"/>
                      <w:sz w:val="24"/>
                      <w:color w:val="000000"/>
                    </w:rPr>
                    <w:t>100人会议室，含多媒体，需提前布置好会场，桌签，桌标等；使用时间半天</w:t>
                  </w:r>
                </w:p>
              </w:tc>
              <w:tc>
                <w:tcPr>
                  <w:tcW w:type="dxa" w:w="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场</w:t>
                  </w:r>
                </w:p>
              </w:tc>
              <w:tc>
                <w:tcPr>
                  <w:tcW w:type="dxa" w:w="3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tcBorders>
                    <w:top w:val="none" w:color="000000" w:sz="4"/>
                    <w:left w:val="singl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功能房</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按照采购人要求布置，竞赛秘书室、</w:t>
                  </w:r>
                  <w:r>
                    <w:rPr>
                      <w:rFonts w:ascii="仿宋_GB2312" w:hAnsi="仿宋_GB2312" w:cs="仿宋_GB2312" w:eastAsia="仿宋_GB2312"/>
                      <w:sz w:val="24"/>
                      <w:color w:val="000000"/>
                    </w:rPr>
                    <w:t>器材存放室裁判员休息室、工作人员</w:t>
                  </w:r>
                  <w:r>
                    <w:rPr>
                      <w:rFonts w:ascii="仿宋_GB2312" w:hAnsi="仿宋_GB2312" w:cs="仿宋_GB2312" w:eastAsia="仿宋_GB2312"/>
                      <w:sz w:val="24"/>
                      <w:color w:val="000000"/>
                    </w:rPr>
                    <w:t>休息室等、按照采购人要求布置；</w:t>
                  </w:r>
                  <w:r>
                    <w:rPr>
                      <w:rFonts w:ascii="仿宋_GB2312" w:hAnsi="仿宋_GB2312" w:cs="仿宋_GB2312" w:eastAsia="仿宋_GB2312"/>
                      <w:sz w:val="24"/>
                      <w:color w:val="000000"/>
                    </w:rPr>
                    <w:t>使用时限为赛事筹备起至赛事结束。</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间</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tcBorders>
                    <w:top w:val="none" w:color="000000" w:sz="4"/>
                    <w:left w:val="singl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运动员热身区</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含场地布置</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片</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550"/>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所有制作、宣传需经采购人审核同意后方可发布，赛事所有原始资料报采购人留存。</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550"/>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供应商除报名资审事宜以外事项，均需做好相应服务保障，场地设施布置、器材准备、电计设备、物料及宣传类制作、劳务发放、会议组织（含会场布置、参赛相关物资分类发放）、安全报备、市场运营、医疗救护、媒体报道宣传制作等。</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550"/>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比赛为</w:t>
                  </w:r>
                  <w:r>
                    <w:rPr>
                      <w:rFonts w:ascii="仿宋_GB2312" w:hAnsi="仿宋_GB2312" w:cs="仿宋_GB2312" w:eastAsia="仿宋_GB2312"/>
                      <w:sz w:val="24"/>
                      <w:color w:val="000000"/>
                    </w:rPr>
                    <w:t>2026年西安市青少年篮球公开赛，暂定时间：9月中旬（最终时间以采购人通知为准），共10天，大约800人，具体人数以实际报名为准。</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标的名称：2026年西安市青少年篮球锦标赛</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0"/>
              <w:gridCol w:w="244"/>
              <w:gridCol w:w="480"/>
              <w:gridCol w:w="710"/>
              <w:gridCol w:w="267"/>
              <w:gridCol w:w="267"/>
              <w:gridCol w:w="315"/>
              <w:gridCol w:w="267"/>
              <w:gridCol w:w="0"/>
            </w:tblGrid>
            <w:tr>
              <w:tc>
                <w:tcPr>
                  <w:tcW w:type="dxa" w:w="0"/>
                </w:tcPr>
                <w:p>
                  <w:pPr>
                    <w:pStyle w:val="null3"/>
                  </w:pPr>
                  <w:r>
                    <w:rPr>
                      <w:rFonts w:ascii="仿宋_GB2312" w:hAnsi="仿宋_GB2312" w:cs="仿宋_GB2312" w:eastAsia="仿宋_GB2312"/>
                      <w:sz w:val="19"/>
                    </w:rPr>
                    <w:t xml:space="preserve"> </w:t>
                  </w:r>
                </w:p>
              </w:tc>
              <w:tc>
                <w:tcPr>
                  <w:tcW w:type="dxa" w:w="2550"/>
                  <w:gridSpan w:val="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2026年西安市青少年篮球锦标赛</w:t>
                  </w:r>
                </w:p>
              </w:tc>
            </w:tr>
            <w:tr>
              <w:tc>
                <w:tcPr>
                  <w:tcW w:type="dxa" w:w="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2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项目</w:t>
                  </w:r>
                </w:p>
              </w:tc>
              <w:tc>
                <w:tcPr>
                  <w:tcW w:type="dxa" w:w="4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内容</w:t>
                  </w:r>
                </w:p>
              </w:tc>
              <w:tc>
                <w:tcPr>
                  <w:tcW w:type="dxa" w:w="7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要求</w:t>
                  </w:r>
                </w:p>
              </w:tc>
              <w:tc>
                <w:tcPr>
                  <w:tcW w:type="dxa" w:w="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c>
                <w:tcPr>
                  <w:tcW w:type="dxa" w:w="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3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比赛天数系数（一次性必需品记为</w:t>
                  </w:r>
                  <w:r>
                    <w:rPr>
                      <w:rFonts w:ascii="仿宋_GB2312" w:hAnsi="仿宋_GB2312" w:cs="仿宋_GB2312" w:eastAsia="仿宋_GB2312"/>
                      <w:sz w:val="24"/>
                      <w:color w:val="000000"/>
                    </w:rPr>
                    <w:t>1）</w:t>
                  </w:r>
                </w:p>
              </w:tc>
              <w:tc>
                <w:tcPr>
                  <w:tcW w:type="dxa" w:w="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赛前准备</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竞赛编排系统</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tcBorders>
                    <w:top w:val="none" w:color="000000" w:sz="4"/>
                    <w:left w:val="singl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竞赛网络设备</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tcBorders>
                    <w:top w:val="none" w:color="000000" w:sz="4"/>
                    <w:left w:val="singl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秩序册</w:t>
                  </w:r>
                </w:p>
              </w:tc>
              <w:tc>
                <w:tcPr>
                  <w:tcW w:type="dxa" w:w="7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秩序册、成绩册、分秩序册的封皮</w:t>
                  </w:r>
                  <w:r>
                    <w:rPr>
                      <w:rFonts w:ascii="仿宋_GB2312" w:hAnsi="仿宋_GB2312" w:cs="仿宋_GB2312" w:eastAsia="仿宋_GB2312"/>
                      <w:sz w:val="24"/>
                      <w:color w:val="000000"/>
                    </w:rPr>
                    <w:t>、底页及相关部分需铜版纸、彩页</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册</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tcBorders>
                    <w:top w:val="none" w:color="000000" w:sz="4"/>
                    <w:left w:val="singl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成绩册</w:t>
                  </w:r>
                </w:p>
              </w:tc>
              <w:tc>
                <w:tcPr>
                  <w:tcW w:type="dxa" w:w="710"/>
                  <w:vMerge/>
                  <w:tcBorders>
                    <w:top w:val="none" w:color="000000" w:sz="4"/>
                    <w:left w:val="none" w:color="000000" w:sz="4"/>
                    <w:bottom w:val="single" w:color="000000" w:sz="4"/>
                    <w:right w:val="single" w:color="000000" w:sz="4"/>
                  </w:tcBorders>
                </w:tc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册</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氛围布置</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赛事主形象</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横幅、喷绘等</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tcBorders>
                    <w:top w:val="none" w:color="000000" w:sz="4"/>
                    <w:left w:val="singl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音响设备</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tcBorders>
                    <w:top w:val="none" w:color="000000" w:sz="4"/>
                    <w:left w:val="singl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场地</w:t>
                  </w:r>
                  <w:r>
                    <w:rPr>
                      <w:rFonts w:ascii="仿宋_GB2312" w:hAnsi="仿宋_GB2312" w:cs="仿宋_GB2312" w:eastAsia="仿宋_GB2312"/>
                      <w:sz w:val="24"/>
                      <w:color w:val="000000"/>
                    </w:rPr>
                    <w:t>A板</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环保</w:t>
                  </w:r>
                  <w:r>
                    <w:rPr>
                      <w:rFonts w:ascii="仿宋_GB2312" w:hAnsi="仿宋_GB2312" w:cs="仿宋_GB2312" w:eastAsia="仿宋_GB2312"/>
                      <w:sz w:val="24"/>
                      <w:color w:val="000000"/>
                    </w:rPr>
                    <w:t>A架</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114</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2m</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通用器材</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裁判桌椅</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1桌2椅为一套，五人制12套</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tcBorders>
                    <w:top w:val="none" w:color="000000" w:sz="4"/>
                    <w:left w:val="singl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成绩公告展示</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喷绘</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tcBorders>
                    <w:top w:val="none" w:color="000000" w:sz="4"/>
                    <w:left w:val="singl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计时器</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篮球专业计时器，五人制</w:t>
                  </w:r>
                  <w:r>
                    <w:rPr>
                      <w:rFonts w:ascii="仿宋_GB2312" w:hAnsi="仿宋_GB2312" w:cs="仿宋_GB2312" w:eastAsia="仿宋_GB2312"/>
                      <w:sz w:val="24"/>
                      <w:color w:val="000000"/>
                    </w:rPr>
                    <w:t>4套</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tcBorders>
                    <w:top w:val="none" w:color="000000" w:sz="4"/>
                    <w:left w:val="singl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比赛用水</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500ml</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3000</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tcBorders>
                    <w:top w:val="none" w:color="000000" w:sz="4"/>
                    <w:left w:val="singl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集体颁奖台</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竞赛专用及辅助器材</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对讲机</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专业频段</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对</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tcBorders>
                    <w:top w:val="none" w:color="000000" w:sz="4"/>
                    <w:left w:val="singl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夹板</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裁判执裁</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tcBorders>
                    <w:top w:val="none" w:color="000000" w:sz="4"/>
                    <w:left w:val="singl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笔</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按竞赛要求配备</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tcBorders>
                    <w:top w:val="none" w:color="000000" w:sz="4"/>
                    <w:left w:val="singl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打印纸</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85gA4打印纸</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tcBorders>
                    <w:top w:val="none" w:color="000000" w:sz="4"/>
                    <w:left w:val="singl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比赛用球</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5人制比赛用球（7号球5个，6号球5个）</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tcBorders>
                    <w:top w:val="none" w:color="000000" w:sz="4"/>
                    <w:left w:val="singl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参赛证</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运动员、裁判等，约</w:t>
                  </w:r>
                  <w:r>
                    <w:rPr>
                      <w:rFonts w:ascii="仿宋_GB2312" w:hAnsi="仿宋_GB2312" w:cs="仿宋_GB2312" w:eastAsia="仿宋_GB2312"/>
                      <w:sz w:val="24"/>
                      <w:color w:val="000000"/>
                    </w:rPr>
                    <w:t>800个，以具体实际数量为准</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人员配置</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裁判组</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不少于</w:t>
                  </w:r>
                  <w:r>
                    <w:rPr>
                      <w:rFonts w:ascii="仿宋_GB2312" w:hAnsi="仿宋_GB2312" w:cs="仿宋_GB2312" w:eastAsia="仿宋_GB2312"/>
                      <w:sz w:val="24"/>
                      <w:color w:val="000000"/>
                    </w:rPr>
                    <w:t>70人，根据竞赛日程天数+报到赛前培训联调1天+赛后收纳器材及总结1天进行核算</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tcBorders>
                    <w:top w:val="none" w:color="000000" w:sz="4"/>
                    <w:left w:val="singl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工作人员</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根据竞赛日程天数</w:t>
                  </w:r>
                  <w:r>
                    <w:rPr>
                      <w:rFonts w:ascii="仿宋_GB2312" w:hAnsi="仿宋_GB2312" w:cs="仿宋_GB2312" w:eastAsia="仿宋_GB2312"/>
                      <w:sz w:val="24"/>
                      <w:color w:val="000000"/>
                    </w:rPr>
                    <w:t>+报到赛前培训联调2天+赛后收纳器材及总结1天进行核算</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tcBorders>
                    <w:top w:val="none" w:color="000000" w:sz="4"/>
                    <w:left w:val="singl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医疗救护车</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救护车须配备司机、医生、护士各</w:t>
                  </w:r>
                  <w:r>
                    <w:rPr>
                      <w:rFonts w:ascii="仿宋_GB2312" w:hAnsi="仿宋_GB2312" w:cs="仿宋_GB2312" w:eastAsia="仿宋_GB2312"/>
                      <w:sz w:val="24"/>
                      <w:color w:val="000000"/>
                    </w:rPr>
                    <w:t>1名</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辆</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保险</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涉赛人员保险</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4"/>
                      <w:color w:val="000000"/>
                    </w:rPr>
                    <w:t>800人，所有涉赛人员（运动员、裁判、工作人员）均须购买保险，以实际情况为准</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媒体宣传</w:t>
                  </w:r>
                </w:p>
              </w:tc>
              <w:tc>
                <w:tcPr>
                  <w:tcW w:type="dxa" w:w="48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比赛媒体宣传摄像</w:t>
                  </w:r>
                </w:p>
              </w:tc>
              <w:tc>
                <w:tcPr>
                  <w:tcW w:type="dxa" w:w="71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官方媒体及网络媒体</w:t>
                  </w:r>
                </w:p>
              </w:tc>
              <w:tc>
                <w:tcPr>
                  <w:tcW w:type="dxa" w:w="26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31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6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会议室、功能房、运动员热身区</w:t>
                  </w:r>
                </w:p>
              </w:tc>
              <w:tc>
                <w:tcPr>
                  <w:tcW w:type="dxa" w:w="4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技术会</w:t>
                  </w:r>
                </w:p>
              </w:tc>
              <w:tc>
                <w:tcPr>
                  <w:tcW w:type="dxa" w:w="7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含多媒体及会场服务，容纳</w:t>
                  </w:r>
                  <w:r>
                    <w:rPr>
                      <w:rFonts w:ascii="仿宋_GB2312" w:hAnsi="仿宋_GB2312" w:cs="仿宋_GB2312" w:eastAsia="仿宋_GB2312"/>
                      <w:sz w:val="24"/>
                      <w:color w:val="000000"/>
                    </w:rPr>
                    <w:t>100人会议室，含多媒体，需提前布置好会场，桌签，桌标等；使用时间半天</w:t>
                  </w:r>
                </w:p>
              </w:tc>
              <w:tc>
                <w:tcPr>
                  <w:tcW w:type="dxa" w:w="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场</w:t>
                  </w:r>
                </w:p>
              </w:tc>
              <w:tc>
                <w:tcPr>
                  <w:tcW w:type="dxa" w:w="3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tcBorders>
                    <w:top w:val="none" w:color="000000" w:sz="4"/>
                    <w:left w:val="singl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功能房</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按照采购人要求布置，竞赛秘书室、</w:t>
                  </w:r>
                  <w:r>
                    <w:rPr>
                      <w:rFonts w:ascii="仿宋_GB2312" w:hAnsi="仿宋_GB2312" w:cs="仿宋_GB2312" w:eastAsia="仿宋_GB2312"/>
                      <w:sz w:val="24"/>
                      <w:color w:val="000000"/>
                    </w:rPr>
                    <w:t>器材存放室裁判员休息室、工作人员</w:t>
                  </w:r>
                  <w:r>
                    <w:rPr>
                      <w:rFonts w:ascii="仿宋_GB2312" w:hAnsi="仿宋_GB2312" w:cs="仿宋_GB2312" w:eastAsia="仿宋_GB2312"/>
                      <w:sz w:val="24"/>
                      <w:color w:val="000000"/>
                    </w:rPr>
                    <w:t>休息室等、按照采购人要求布置；</w:t>
                  </w:r>
                  <w:r>
                    <w:rPr>
                      <w:rFonts w:ascii="仿宋_GB2312" w:hAnsi="仿宋_GB2312" w:cs="仿宋_GB2312" w:eastAsia="仿宋_GB2312"/>
                      <w:sz w:val="24"/>
                      <w:color w:val="000000"/>
                    </w:rPr>
                    <w:t>使用时限为赛事筹备起至赛事结束。</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间</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tcBorders>
                    <w:top w:val="none" w:color="000000" w:sz="4"/>
                    <w:left w:val="singl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运动员热身区</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含场地布置</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片</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550"/>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所有制作、宣传需经采购人审核同意后方可发布，赛事所有原始资料报采购人留存。</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550"/>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供应商除报名资审事宜以外事项，均需做好相应服务保障，场地设施布置、器材准备、电计设备、物料及宣传类制作、劳务发放、会议组织（含会场布置、参赛相关物资分类发放）、安全报备、市场运营、医疗救护、媒体报道宣传制作等。</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550"/>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比赛为</w:t>
                  </w:r>
                  <w:r>
                    <w:rPr>
                      <w:rFonts w:ascii="仿宋_GB2312" w:hAnsi="仿宋_GB2312" w:cs="仿宋_GB2312" w:eastAsia="仿宋_GB2312"/>
                      <w:sz w:val="24"/>
                      <w:color w:val="000000"/>
                    </w:rPr>
                    <w:t>2026年西安市青少年篮球锦标赛，暂定时间：2026年4月30日-2026年5月6日（最终时间以采购人通知为准），共7天，大约600-800人，具体人数以实际报名为准。</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标的名称：2026年西安市青少年三人篮球锦标赛</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0"/>
              <w:gridCol w:w="244"/>
              <w:gridCol w:w="480"/>
              <w:gridCol w:w="710"/>
              <w:gridCol w:w="267"/>
              <w:gridCol w:w="267"/>
              <w:gridCol w:w="315"/>
              <w:gridCol w:w="267"/>
              <w:gridCol w:w="0"/>
            </w:tblGrid>
            <w:tr>
              <w:tc>
                <w:tcPr>
                  <w:tcW w:type="dxa" w:w="0"/>
                </w:tcPr>
                <w:p>
                  <w:pPr>
                    <w:pStyle w:val="null3"/>
                  </w:pPr>
                  <w:r>
                    <w:rPr>
                      <w:rFonts w:ascii="仿宋_GB2312" w:hAnsi="仿宋_GB2312" w:cs="仿宋_GB2312" w:eastAsia="仿宋_GB2312"/>
                      <w:sz w:val="19"/>
                    </w:rPr>
                    <w:t xml:space="preserve"> </w:t>
                  </w:r>
                </w:p>
              </w:tc>
              <w:tc>
                <w:tcPr>
                  <w:tcW w:type="dxa" w:w="2550"/>
                  <w:gridSpan w:val="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2026年西安市青少年三人篮球锦标赛</w:t>
                  </w:r>
                </w:p>
              </w:tc>
            </w:tr>
            <w:tr>
              <w:tc>
                <w:tcPr>
                  <w:tcW w:type="dxa" w:w="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2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项目</w:t>
                  </w:r>
                </w:p>
              </w:tc>
              <w:tc>
                <w:tcPr>
                  <w:tcW w:type="dxa" w:w="4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内容</w:t>
                  </w:r>
                </w:p>
              </w:tc>
              <w:tc>
                <w:tcPr>
                  <w:tcW w:type="dxa" w:w="7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要求</w:t>
                  </w:r>
                </w:p>
              </w:tc>
              <w:tc>
                <w:tcPr>
                  <w:tcW w:type="dxa" w:w="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c>
                <w:tcPr>
                  <w:tcW w:type="dxa" w:w="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3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比赛天数系数（一次性必需品记为</w:t>
                  </w:r>
                  <w:r>
                    <w:rPr>
                      <w:rFonts w:ascii="仿宋_GB2312" w:hAnsi="仿宋_GB2312" w:cs="仿宋_GB2312" w:eastAsia="仿宋_GB2312"/>
                      <w:sz w:val="24"/>
                      <w:color w:val="000000"/>
                    </w:rPr>
                    <w:t>1）</w:t>
                  </w:r>
                </w:p>
              </w:tc>
              <w:tc>
                <w:tcPr>
                  <w:tcW w:type="dxa" w:w="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赛前准备</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竞赛编排系统</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tcBorders>
                    <w:top w:val="none" w:color="000000" w:sz="4"/>
                    <w:left w:val="singl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竞赛网络设备</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tcBorders>
                    <w:top w:val="none" w:color="000000" w:sz="4"/>
                    <w:left w:val="singl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秩序册</w:t>
                  </w:r>
                </w:p>
              </w:tc>
              <w:tc>
                <w:tcPr>
                  <w:tcW w:type="dxa" w:w="7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秩序册、成绩册、分秩序册的封皮</w:t>
                  </w:r>
                  <w:r>
                    <w:rPr>
                      <w:rFonts w:ascii="仿宋_GB2312" w:hAnsi="仿宋_GB2312" w:cs="仿宋_GB2312" w:eastAsia="仿宋_GB2312"/>
                      <w:sz w:val="24"/>
                      <w:color w:val="000000"/>
                    </w:rPr>
                    <w:t>、底页及相关部分需铜版纸、彩页</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册</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tcBorders>
                    <w:top w:val="none" w:color="000000" w:sz="4"/>
                    <w:left w:val="singl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成绩册</w:t>
                  </w:r>
                </w:p>
              </w:tc>
              <w:tc>
                <w:tcPr>
                  <w:tcW w:type="dxa" w:w="710"/>
                  <w:vMerge/>
                  <w:tcBorders>
                    <w:top w:val="none" w:color="000000" w:sz="4"/>
                    <w:left w:val="none" w:color="000000" w:sz="4"/>
                    <w:bottom w:val="single" w:color="000000" w:sz="4"/>
                    <w:right w:val="single" w:color="000000" w:sz="4"/>
                  </w:tcBorders>
                </w:tc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册</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氛围布置</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赛事主形象</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横幅、喷绘等</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tcBorders>
                    <w:top w:val="none" w:color="000000" w:sz="4"/>
                    <w:left w:val="singl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音响设备</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tcBorders>
                    <w:top w:val="none" w:color="000000" w:sz="4"/>
                    <w:left w:val="singl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场地</w:t>
                  </w:r>
                  <w:r>
                    <w:rPr>
                      <w:rFonts w:ascii="仿宋_GB2312" w:hAnsi="仿宋_GB2312" w:cs="仿宋_GB2312" w:eastAsia="仿宋_GB2312"/>
                      <w:sz w:val="24"/>
                      <w:color w:val="000000"/>
                    </w:rPr>
                    <w:t>A板</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环保</w:t>
                  </w:r>
                  <w:r>
                    <w:rPr>
                      <w:rFonts w:ascii="仿宋_GB2312" w:hAnsi="仿宋_GB2312" w:cs="仿宋_GB2312" w:eastAsia="仿宋_GB2312"/>
                      <w:sz w:val="24"/>
                      <w:color w:val="000000"/>
                    </w:rPr>
                    <w:t>A架</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114</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2m</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通用器材</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裁判桌椅</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1桌2椅为一套，五人制12套</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tcBorders>
                    <w:top w:val="none" w:color="000000" w:sz="4"/>
                    <w:left w:val="singl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成绩公告展示</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喷绘</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tcBorders>
                    <w:top w:val="none" w:color="000000" w:sz="4"/>
                    <w:left w:val="singl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计时器</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篮球专业计时器</w:t>
                  </w:r>
                  <w:r>
                    <w:rPr>
                      <w:rFonts w:ascii="仿宋_GB2312" w:hAnsi="仿宋_GB2312" w:cs="仿宋_GB2312" w:eastAsia="仿宋_GB2312"/>
                      <w:sz w:val="24"/>
                      <w:color w:val="000000"/>
                    </w:rPr>
                    <w:t xml:space="preserve">  </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tcBorders>
                    <w:top w:val="none" w:color="000000" w:sz="4"/>
                    <w:left w:val="singl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比赛用水</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500ml</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3000</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tcBorders>
                    <w:top w:val="none" w:color="000000" w:sz="4"/>
                    <w:left w:val="singl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集体颁奖台</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竞赛专用及辅助器材</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对讲机</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专业频段</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对</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tcBorders>
                    <w:top w:val="none" w:color="000000" w:sz="4"/>
                    <w:left w:val="singl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夹板</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裁判执裁</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tcBorders>
                    <w:top w:val="none" w:color="000000" w:sz="4"/>
                    <w:left w:val="singl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笔</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按竞赛要求配备</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tcBorders>
                    <w:top w:val="none" w:color="000000" w:sz="4"/>
                    <w:left w:val="singl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打印纸</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85gA4打印纸</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tcBorders>
                    <w:top w:val="none" w:color="000000" w:sz="4"/>
                    <w:left w:val="singl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比赛用球</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3人制篮球10个，比赛用球</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tcBorders>
                    <w:top w:val="none" w:color="000000" w:sz="4"/>
                    <w:left w:val="singl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参赛证</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运动员、裁判等，约</w:t>
                  </w:r>
                  <w:r>
                    <w:rPr>
                      <w:rFonts w:ascii="仿宋_GB2312" w:hAnsi="仿宋_GB2312" w:cs="仿宋_GB2312" w:eastAsia="仿宋_GB2312"/>
                      <w:sz w:val="24"/>
                      <w:color w:val="000000"/>
                    </w:rPr>
                    <w:t>600个，以具体实际数量为准</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人员配置</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裁判组</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不少于</w:t>
                  </w:r>
                  <w:r>
                    <w:rPr>
                      <w:rFonts w:ascii="仿宋_GB2312" w:hAnsi="仿宋_GB2312" w:cs="仿宋_GB2312" w:eastAsia="仿宋_GB2312"/>
                      <w:sz w:val="24"/>
                      <w:color w:val="000000"/>
                    </w:rPr>
                    <w:t>70人，根据竞赛日程天数+报到赛前培训联调1天+赛后收纳器材及总结1天进行核算</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tcBorders>
                    <w:top w:val="none" w:color="000000" w:sz="4"/>
                    <w:left w:val="singl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工作人员</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根据竞赛日程天数</w:t>
                  </w:r>
                  <w:r>
                    <w:rPr>
                      <w:rFonts w:ascii="仿宋_GB2312" w:hAnsi="仿宋_GB2312" w:cs="仿宋_GB2312" w:eastAsia="仿宋_GB2312"/>
                      <w:sz w:val="24"/>
                      <w:color w:val="000000"/>
                    </w:rPr>
                    <w:t>+报到赛前培训联调2天+赛后收纳器材及总结1天进行核算</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tcBorders>
                    <w:top w:val="none" w:color="000000" w:sz="4"/>
                    <w:left w:val="singl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医疗救护车</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救护车须配备司机、医生、护士各</w:t>
                  </w:r>
                  <w:r>
                    <w:rPr>
                      <w:rFonts w:ascii="仿宋_GB2312" w:hAnsi="仿宋_GB2312" w:cs="仿宋_GB2312" w:eastAsia="仿宋_GB2312"/>
                      <w:sz w:val="24"/>
                      <w:color w:val="000000"/>
                    </w:rPr>
                    <w:t>1名</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辆</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保险</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涉赛人员保险</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4"/>
                      <w:color w:val="000000"/>
                    </w:rPr>
                    <w:t>600人，所有涉赛人员（运动员、裁判、工作人员）均须购买保险，以实际情况为准</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媒体宣传</w:t>
                  </w:r>
                </w:p>
              </w:tc>
              <w:tc>
                <w:tcPr>
                  <w:tcW w:type="dxa" w:w="48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比赛媒体宣传摄像</w:t>
                  </w:r>
                </w:p>
              </w:tc>
              <w:tc>
                <w:tcPr>
                  <w:tcW w:type="dxa" w:w="71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官方媒体及网络媒体</w:t>
                  </w:r>
                </w:p>
              </w:tc>
              <w:tc>
                <w:tcPr>
                  <w:tcW w:type="dxa" w:w="26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31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会议室、功能房、运动员热身区</w:t>
                  </w:r>
                </w:p>
              </w:tc>
              <w:tc>
                <w:tcPr>
                  <w:tcW w:type="dxa" w:w="4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技术会</w:t>
                  </w:r>
                </w:p>
              </w:tc>
              <w:tc>
                <w:tcPr>
                  <w:tcW w:type="dxa" w:w="7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含多媒体及会场服务，容纳</w:t>
                  </w:r>
                  <w:r>
                    <w:rPr>
                      <w:rFonts w:ascii="仿宋_GB2312" w:hAnsi="仿宋_GB2312" w:cs="仿宋_GB2312" w:eastAsia="仿宋_GB2312"/>
                      <w:sz w:val="24"/>
                      <w:color w:val="000000"/>
                    </w:rPr>
                    <w:t>100人会议室，含多媒体，需提前布置好会场，桌签，桌标等；使用时间半天</w:t>
                  </w:r>
                </w:p>
              </w:tc>
              <w:tc>
                <w:tcPr>
                  <w:tcW w:type="dxa" w:w="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场</w:t>
                  </w:r>
                </w:p>
              </w:tc>
              <w:tc>
                <w:tcPr>
                  <w:tcW w:type="dxa" w:w="3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tcBorders>
                    <w:top w:val="none" w:color="000000" w:sz="4"/>
                    <w:left w:val="singl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功能房</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按照采购人要求布置，竞赛秘书室、</w:t>
                  </w:r>
                  <w:r>
                    <w:rPr>
                      <w:rFonts w:ascii="仿宋_GB2312" w:hAnsi="仿宋_GB2312" w:cs="仿宋_GB2312" w:eastAsia="仿宋_GB2312"/>
                      <w:sz w:val="24"/>
                      <w:color w:val="000000"/>
                    </w:rPr>
                    <w:t>器材存放室裁判员休息室、工作人员</w:t>
                  </w:r>
                  <w:r>
                    <w:rPr>
                      <w:rFonts w:ascii="仿宋_GB2312" w:hAnsi="仿宋_GB2312" w:cs="仿宋_GB2312" w:eastAsia="仿宋_GB2312"/>
                      <w:sz w:val="24"/>
                      <w:color w:val="000000"/>
                    </w:rPr>
                    <w:t>休息室等、按照采购人要求布置；</w:t>
                  </w:r>
                  <w:r>
                    <w:rPr>
                      <w:rFonts w:ascii="仿宋_GB2312" w:hAnsi="仿宋_GB2312" w:cs="仿宋_GB2312" w:eastAsia="仿宋_GB2312"/>
                      <w:sz w:val="24"/>
                      <w:color w:val="000000"/>
                    </w:rPr>
                    <w:t>使用时限为赛事筹备起至赛事结束。</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间</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vMerge/>
                  <w:tcBorders>
                    <w:top w:val="none" w:color="000000" w:sz="4"/>
                    <w:left w:val="singl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运动员热身区</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含场地布置</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片</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96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所有制作、宣传需经采购人审核同意后方可发布，赛事所有原始资料报采购人留存。</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550"/>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供应商除报名资审事宜以外事项，均需做好相应服务保障，场地设施布置、器材准备、电计设备、物料及宣传类制作、劳务发放、会议组织（含会场布置、参赛相关物资分类发放）、安全报备、市场运营、医疗救护、媒体报道宣传制作等。</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550"/>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比赛为</w:t>
                  </w:r>
                  <w:r>
                    <w:rPr>
                      <w:rFonts w:ascii="仿宋_GB2312" w:hAnsi="仿宋_GB2312" w:cs="仿宋_GB2312" w:eastAsia="仿宋_GB2312"/>
                      <w:sz w:val="24"/>
                      <w:color w:val="000000"/>
                    </w:rPr>
                    <w:t>2026年西安市青少年三人篮球锦标赛，暂定时间：2026年4月30日--2026年5月6日（最终时间以采购人通知为准），共7天，大约500-600人，具体人数以实际报名为准。</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bl>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标的名称：2026年西安市青少年排球锦标赛和公开赛</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0"/>
              <w:gridCol w:w="227"/>
              <w:gridCol w:w="334"/>
              <w:gridCol w:w="466"/>
              <w:gridCol w:w="663"/>
              <w:gridCol w:w="202"/>
              <w:gridCol w:w="202"/>
              <w:gridCol w:w="238"/>
              <w:gridCol w:w="217"/>
              <w:gridCol w:w="0"/>
            </w:tblGrid>
            <w:tr>
              <w:tc>
                <w:tcPr>
                  <w:tcW w:type="dxa" w:w="0"/>
                </w:tcPr>
                <w:p>
                  <w:pPr>
                    <w:pStyle w:val="null3"/>
                  </w:pPr>
                  <w:r>
                    <w:rPr>
                      <w:rFonts w:ascii="仿宋_GB2312" w:hAnsi="仿宋_GB2312" w:cs="仿宋_GB2312" w:eastAsia="仿宋_GB2312"/>
                      <w:sz w:val="19"/>
                    </w:rPr>
                    <w:t xml:space="preserve"> </w:t>
                  </w:r>
                </w:p>
              </w:tc>
              <w:tc>
                <w:tcPr>
                  <w:tcW w:type="dxa" w:w="2549"/>
                  <w:gridSpan w:val="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2026年西安市青少年排球锦标赛</w:t>
                  </w:r>
                </w:p>
              </w:tc>
            </w:tr>
            <w:tr>
              <w:tc>
                <w:tcPr>
                  <w:tcW w:type="dxa" w:w="22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3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项目</w:t>
                  </w:r>
                </w:p>
              </w:tc>
              <w:tc>
                <w:tcPr>
                  <w:tcW w:type="dxa" w:w="4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内容</w:t>
                  </w:r>
                </w:p>
              </w:tc>
              <w:tc>
                <w:tcPr>
                  <w:tcW w:type="dxa" w:w="6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要求</w:t>
                  </w:r>
                </w:p>
              </w:tc>
              <w:tc>
                <w:tcPr>
                  <w:tcW w:type="dxa" w:w="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c>
                <w:tcPr>
                  <w:tcW w:type="dxa" w:w="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2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比赛天数系数（一次性必需品记为</w:t>
                  </w:r>
                  <w:r>
                    <w:rPr>
                      <w:rFonts w:ascii="仿宋_GB2312" w:hAnsi="仿宋_GB2312" w:cs="仿宋_GB2312" w:eastAsia="仿宋_GB2312"/>
                      <w:sz w:val="24"/>
                      <w:color w:val="000000"/>
                    </w:rPr>
                    <w:t>1）</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27"/>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赛前准备</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竞赛编排系统</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27"/>
                  <w:gridSpan w:val="2"/>
                  <w:vMerge/>
                  <w:tcBorders>
                    <w:top w:val="none" w:color="000000" w:sz="4"/>
                    <w:left w:val="single" w:color="000000" w:sz="4"/>
                    <w:bottom w:val="single" w:color="000000" w:sz="4"/>
                    <w:right w:val="single" w:color="000000" w:sz="4"/>
                  </w:tcBorders>
                </w:tcPr>
                <w:p/>
              </w:tc>
              <w:tc>
                <w:tcPr>
                  <w:tcW w:type="dxa" w:w="334"/>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竞赛网络设备</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27"/>
                  <w:gridSpan w:val="2"/>
                  <w:vMerge/>
                  <w:tcBorders>
                    <w:top w:val="none" w:color="000000" w:sz="4"/>
                    <w:left w:val="single" w:color="000000" w:sz="4"/>
                    <w:bottom w:val="single" w:color="000000" w:sz="4"/>
                    <w:right w:val="single" w:color="000000" w:sz="4"/>
                  </w:tcBorders>
                </w:tcPr>
                <w:p/>
              </w:tc>
              <w:tc>
                <w:tcPr>
                  <w:tcW w:type="dxa" w:w="334"/>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秩序册</w:t>
                  </w:r>
                </w:p>
              </w:tc>
              <w:tc>
                <w:tcPr>
                  <w:tcW w:type="dxa" w:w="66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秩序册、成绩册、分秩序册的封皮</w:t>
                  </w:r>
                  <w:r>
                    <w:rPr>
                      <w:rFonts w:ascii="仿宋_GB2312" w:hAnsi="仿宋_GB2312" w:cs="仿宋_GB2312" w:eastAsia="仿宋_GB2312"/>
                      <w:sz w:val="24"/>
                      <w:color w:val="000000"/>
                    </w:rPr>
                    <w:t>、底页及相关部分需铜版纸、彩页</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册</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27"/>
                  <w:gridSpan w:val="2"/>
                  <w:vMerge/>
                  <w:tcBorders>
                    <w:top w:val="none" w:color="000000" w:sz="4"/>
                    <w:left w:val="single" w:color="000000" w:sz="4"/>
                    <w:bottom w:val="single" w:color="000000" w:sz="4"/>
                    <w:right w:val="single" w:color="000000" w:sz="4"/>
                  </w:tcBorders>
                </w:tcPr>
                <w:p/>
              </w:tc>
              <w:tc>
                <w:tcPr>
                  <w:tcW w:type="dxa" w:w="334"/>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成绩册</w:t>
                  </w:r>
                </w:p>
              </w:tc>
              <w:tc>
                <w:tcPr>
                  <w:tcW w:type="dxa" w:w="663"/>
                  <w:vMerge/>
                  <w:tcBorders>
                    <w:top w:val="none" w:color="000000" w:sz="4"/>
                    <w:left w:val="none" w:color="000000" w:sz="4"/>
                    <w:bottom w:val="single" w:color="000000" w:sz="4"/>
                    <w:right w:val="single" w:color="000000" w:sz="4"/>
                  </w:tcBorders>
                </w:tcP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册</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27"/>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氛围布置</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赛事主形象</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喷绘等</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27"/>
                  <w:gridSpan w:val="2"/>
                  <w:vMerge/>
                  <w:tcBorders>
                    <w:top w:val="none" w:color="000000" w:sz="4"/>
                    <w:left w:val="single" w:color="000000" w:sz="4"/>
                    <w:bottom w:val="single" w:color="000000" w:sz="4"/>
                    <w:right w:val="single" w:color="000000" w:sz="4"/>
                  </w:tcBorders>
                </w:tcPr>
                <w:p/>
              </w:tc>
              <w:tc>
                <w:tcPr>
                  <w:tcW w:type="dxa" w:w="334"/>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音响设备</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27"/>
                  <w:gridSpan w:val="2"/>
                  <w:vMerge/>
                  <w:tcBorders>
                    <w:top w:val="none" w:color="000000" w:sz="4"/>
                    <w:left w:val="single" w:color="000000" w:sz="4"/>
                    <w:bottom w:val="single" w:color="000000" w:sz="4"/>
                    <w:right w:val="single" w:color="000000" w:sz="4"/>
                  </w:tcBorders>
                </w:tcPr>
                <w:p/>
              </w:tc>
              <w:tc>
                <w:tcPr>
                  <w:tcW w:type="dxa" w:w="334"/>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场地</w:t>
                  </w:r>
                  <w:r>
                    <w:rPr>
                      <w:rFonts w:ascii="仿宋_GB2312" w:hAnsi="仿宋_GB2312" w:cs="仿宋_GB2312" w:eastAsia="仿宋_GB2312"/>
                      <w:sz w:val="24"/>
                      <w:color w:val="000000"/>
                    </w:rPr>
                    <w:t>A板</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环保</w:t>
                  </w:r>
                  <w:r>
                    <w:rPr>
                      <w:rFonts w:ascii="仿宋_GB2312" w:hAnsi="仿宋_GB2312" w:cs="仿宋_GB2312" w:eastAsia="仿宋_GB2312"/>
                      <w:sz w:val="24"/>
                      <w:color w:val="000000"/>
                    </w:rPr>
                    <w:t>A架</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2m</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27"/>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通用器材</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裁判桌椅</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1桌2椅为一套，5套</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27"/>
                  <w:gridSpan w:val="2"/>
                  <w:vMerge/>
                  <w:tcBorders>
                    <w:top w:val="none" w:color="000000" w:sz="4"/>
                    <w:left w:val="single" w:color="000000" w:sz="4"/>
                    <w:bottom w:val="single" w:color="000000" w:sz="4"/>
                    <w:right w:val="single" w:color="000000" w:sz="4"/>
                  </w:tcBorders>
                </w:tcPr>
                <w:p/>
              </w:tc>
              <w:tc>
                <w:tcPr>
                  <w:tcW w:type="dxa" w:w="334"/>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成绩公告展示</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喷绘</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27"/>
                  <w:gridSpan w:val="2"/>
                  <w:vMerge/>
                  <w:tcBorders>
                    <w:top w:val="none" w:color="000000" w:sz="4"/>
                    <w:left w:val="single" w:color="000000" w:sz="4"/>
                    <w:bottom w:val="single" w:color="000000" w:sz="4"/>
                    <w:right w:val="single" w:color="000000" w:sz="4"/>
                  </w:tcBorders>
                </w:tcPr>
                <w:p/>
              </w:tc>
              <w:tc>
                <w:tcPr>
                  <w:tcW w:type="dxa" w:w="334"/>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比赛用水</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500ml</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27"/>
                  <w:gridSpan w:val="2"/>
                  <w:vMerge/>
                  <w:tcBorders>
                    <w:top w:val="none" w:color="000000" w:sz="4"/>
                    <w:left w:val="single" w:color="000000" w:sz="4"/>
                    <w:bottom w:val="single" w:color="000000" w:sz="4"/>
                    <w:right w:val="single" w:color="000000" w:sz="4"/>
                  </w:tcBorders>
                </w:tcPr>
                <w:p/>
              </w:tc>
              <w:tc>
                <w:tcPr>
                  <w:tcW w:type="dxa" w:w="334"/>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集体颁奖台</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36人</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27"/>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竞赛专用及辅助器材</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对讲机</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专业频段</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对</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27"/>
                  <w:gridSpan w:val="2"/>
                  <w:vMerge/>
                  <w:tcBorders>
                    <w:top w:val="none" w:color="000000" w:sz="4"/>
                    <w:left w:val="single" w:color="000000" w:sz="4"/>
                    <w:bottom w:val="single" w:color="000000" w:sz="4"/>
                    <w:right w:val="single" w:color="000000" w:sz="4"/>
                  </w:tcBorders>
                </w:tcPr>
                <w:p/>
              </w:tc>
              <w:tc>
                <w:tcPr>
                  <w:tcW w:type="dxa" w:w="334"/>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夹板</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裁判执裁</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27"/>
                  <w:gridSpan w:val="2"/>
                  <w:vMerge/>
                  <w:tcBorders>
                    <w:top w:val="none" w:color="000000" w:sz="4"/>
                    <w:left w:val="single" w:color="000000" w:sz="4"/>
                    <w:bottom w:val="single" w:color="000000" w:sz="4"/>
                    <w:right w:val="single" w:color="000000" w:sz="4"/>
                  </w:tcBorders>
                </w:tcPr>
                <w:p/>
              </w:tc>
              <w:tc>
                <w:tcPr>
                  <w:tcW w:type="dxa" w:w="334"/>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笔</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按竞赛要求配备</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27"/>
                  <w:gridSpan w:val="2"/>
                  <w:vMerge/>
                  <w:tcBorders>
                    <w:top w:val="none" w:color="000000" w:sz="4"/>
                    <w:left w:val="single" w:color="000000" w:sz="4"/>
                    <w:bottom w:val="single" w:color="000000" w:sz="4"/>
                    <w:right w:val="single" w:color="000000" w:sz="4"/>
                  </w:tcBorders>
                </w:tcPr>
                <w:p/>
              </w:tc>
              <w:tc>
                <w:tcPr>
                  <w:tcW w:type="dxa" w:w="334"/>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打印纸</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85gA4打印纸</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27"/>
                  <w:gridSpan w:val="2"/>
                  <w:vMerge/>
                  <w:tcBorders>
                    <w:top w:val="none" w:color="000000" w:sz="4"/>
                    <w:left w:val="single" w:color="000000" w:sz="4"/>
                    <w:bottom w:val="single" w:color="000000" w:sz="4"/>
                    <w:right w:val="single" w:color="000000" w:sz="4"/>
                  </w:tcBorders>
                </w:tcPr>
                <w:p/>
              </w:tc>
              <w:tc>
                <w:tcPr>
                  <w:tcW w:type="dxa" w:w="334"/>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比赛用球</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比赛用球</w:t>
                  </w:r>
                  <w:r>
                    <w:rPr>
                      <w:rFonts w:ascii="仿宋_GB2312" w:hAnsi="仿宋_GB2312" w:cs="仿宋_GB2312" w:eastAsia="仿宋_GB2312"/>
                      <w:sz w:val="24"/>
                      <w:color w:val="000000"/>
                    </w:rPr>
                    <w:t>12个（4块场地）</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27"/>
                  <w:gridSpan w:val="2"/>
                  <w:vMerge/>
                  <w:tcBorders>
                    <w:top w:val="none" w:color="000000" w:sz="4"/>
                    <w:left w:val="single" w:color="000000" w:sz="4"/>
                    <w:bottom w:val="single" w:color="000000" w:sz="4"/>
                    <w:right w:val="single" w:color="000000" w:sz="4"/>
                  </w:tcBorders>
                </w:tcPr>
                <w:p/>
              </w:tc>
              <w:tc>
                <w:tcPr>
                  <w:tcW w:type="dxa" w:w="334"/>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参赛证</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运动员、裁判等，约</w:t>
                  </w:r>
                  <w:r>
                    <w:rPr>
                      <w:rFonts w:ascii="仿宋_GB2312" w:hAnsi="仿宋_GB2312" w:cs="仿宋_GB2312" w:eastAsia="仿宋_GB2312"/>
                      <w:sz w:val="24"/>
                      <w:color w:val="000000"/>
                    </w:rPr>
                    <w:t>600个，以具体实际数量为准</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27"/>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人员配置</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裁判组</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不少于</w:t>
                  </w:r>
                  <w:r>
                    <w:rPr>
                      <w:rFonts w:ascii="仿宋_GB2312" w:hAnsi="仿宋_GB2312" w:cs="仿宋_GB2312" w:eastAsia="仿宋_GB2312"/>
                      <w:sz w:val="24"/>
                      <w:color w:val="000000"/>
                    </w:rPr>
                    <w:t>40人，根据竞赛日程天数+报到赛前培训联调2天+赛后收纳器材及总结1天进行核算</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27"/>
                  <w:gridSpan w:val="2"/>
                  <w:vMerge/>
                  <w:tcBorders>
                    <w:top w:val="none" w:color="000000" w:sz="4"/>
                    <w:left w:val="single" w:color="000000" w:sz="4"/>
                    <w:bottom w:val="single" w:color="000000" w:sz="4"/>
                    <w:right w:val="single" w:color="000000" w:sz="4"/>
                  </w:tcBorders>
                </w:tcPr>
                <w:p/>
              </w:tc>
              <w:tc>
                <w:tcPr>
                  <w:tcW w:type="dxa" w:w="334"/>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工作人员</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根据竞赛日程天数</w:t>
                  </w:r>
                  <w:r>
                    <w:rPr>
                      <w:rFonts w:ascii="仿宋_GB2312" w:hAnsi="仿宋_GB2312" w:cs="仿宋_GB2312" w:eastAsia="仿宋_GB2312"/>
                      <w:sz w:val="24"/>
                      <w:color w:val="000000"/>
                    </w:rPr>
                    <w:t>+报到赛前培训联调2天+赛后收纳器材及总结1天进行核算</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27"/>
                  <w:gridSpan w:val="2"/>
                  <w:vMerge/>
                  <w:tcBorders>
                    <w:top w:val="none" w:color="000000" w:sz="4"/>
                    <w:left w:val="single" w:color="000000" w:sz="4"/>
                    <w:bottom w:val="single" w:color="000000" w:sz="4"/>
                    <w:right w:val="single" w:color="000000" w:sz="4"/>
                  </w:tcBorders>
                </w:tcPr>
                <w:p/>
              </w:tc>
              <w:tc>
                <w:tcPr>
                  <w:tcW w:type="dxa" w:w="334"/>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医疗救护车</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救护车须配备司机、医生、护士各</w:t>
                  </w:r>
                  <w:r>
                    <w:rPr>
                      <w:rFonts w:ascii="仿宋_GB2312" w:hAnsi="仿宋_GB2312" w:cs="仿宋_GB2312" w:eastAsia="仿宋_GB2312"/>
                      <w:sz w:val="24"/>
                      <w:color w:val="000000"/>
                    </w:rPr>
                    <w:t>1名</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辆</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2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保险</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涉赛人员保险</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4"/>
                      <w:color w:val="000000"/>
                    </w:rPr>
                    <w:t>600人，所有涉赛人员（运动员、裁判、工作人员）均须购买保险，以实际情况为准</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27"/>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媒体宣传</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视频及图片</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开赛、集锦、完赛</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27"/>
                  <w:gridSpan w:val="2"/>
                  <w:vMerge/>
                  <w:tcBorders>
                    <w:top w:val="none" w:color="000000" w:sz="4"/>
                    <w:left w:val="single" w:color="000000" w:sz="4"/>
                    <w:bottom w:val="single" w:color="000000" w:sz="4"/>
                    <w:right w:val="single" w:color="000000" w:sz="4"/>
                  </w:tcBorders>
                </w:tcPr>
                <w:p/>
              </w:tc>
              <w:tc>
                <w:tcPr>
                  <w:tcW w:type="dxa" w:w="334"/>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媒体宣传</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官方媒体及网络媒体</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家</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27"/>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会议室、功能房、运动员热身区</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技术会</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含多媒体及会场服务，容纳</w:t>
                  </w:r>
                  <w:r>
                    <w:rPr>
                      <w:rFonts w:ascii="仿宋_GB2312" w:hAnsi="仿宋_GB2312" w:cs="仿宋_GB2312" w:eastAsia="仿宋_GB2312"/>
                      <w:sz w:val="24"/>
                      <w:color w:val="000000"/>
                    </w:rPr>
                    <w:t>100人会议室，含多媒体，需提前布置好会场，桌签，桌标等；使用时间半天</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场</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27"/>
                  <w:gridSpan w:val="2"/>
                  <w:vMerge/>
                  <w:tcBorders>
                    <w:top w:val="none" w:color="000000" w:sz="4"/>
                    <w:left w:val="single" w:color="000000" w:sz="4"/>
                    <w:bottom w:val="single" w:color="000000" w:sz="4"/>
                    <w:right w:val="single" w:color="000000" w:sz="4"/>
                  </w:tcBorders>
                </w:tcPr>
                <w:p/>
              </w:tc>
              <w:tc>
                <w:tcPr>
                  <w:tcW w:type="dxa" w:w="334"/>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功能房</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按照采购人要求布置，竞赛秘书室、</w:t>
                  </w:r>
                  <w:r>
                    <w:rPr>
                      <w:rFonts w:ascii="仿宋_GB2312" w:hAnsi="仿宋_GB2312" w:cs="仿宋_GB2312" w:eastAsia="仿宋_GB2312"/>
                      <w:sz w:val="24"/>
                      <w:color w:val="000000"/>
                    </w:rPr>
                    <w:t>器材存放室裁判员休息室、工作人员</w:t>
                  </w:r>
                  <w:r>
                    <w:rPr>
                      <w:rFonts w:ascii="仿宋_GB2312" w:hAnsi="仿宋_GB2312" w:cs="仿宋_GB2312" w:eastAsia="仿宋_GB2312"/>
                      <w:sz w:val="24"/>
                      <w:color w:val="000000"/>
                    </w:rPr>
                    <w:t>休息室等、按照采购人要求布置；</w:t>
                  </w:r>
                  <w:r>
                    <w:rPr>
                      <w:rFonts w:ascii="仿宋_GB2312" w:hAnsi="仿宋_GB2312" w:cs="仿宋_GB2312" w:eastAsia="仿宋_GB2312"/>
                      <w:sz w:val="24"/>
                      <w:color w:val="000000"/>
                    </w:rPr>
                    <w:t>使用时限为赛事筹备起至赛事结束。</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间</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27"/>
                  <w:gridSpan w:val="2"/>
                  <w:vMerge/>
                  <w:tcBorders>
                    <w:top w:val="none" w:color="000000" w:sz="4"/>
                    <w:left w:val="single" w:color="000000" w:sz="4"/>
                    <w:bottom w:val="single" w:color="000000" w:sz="4"/>
                    <w:right w:val="single" w:color="000000" w:sz="4"/>
                  </w:tcBorders>
                </w:tcPr>
                <w:p/>
              </w:tc>
              <w:tc>
                <w:tcPr>
                  <w:tcW w:type="dxa" w:w="334"/>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运动员热身区</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含场地布置</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片</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549"/>
                  <w:gridSpan w:val="9"/>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所有制作、宣传需经采购人审核同意后方可发布，赛事所有原始资料报采购人留存。</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549"/>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供应商除报名资审事宜以外事项，均需做好相应服务保障，场地设施布置、器材准备、电计设备、物料及宣传类制作、劳务发放、会议组织（含会场布置、参赛相关物资分类发放）、安全报备、市场运营、医疗救护、媒体报道宣传制作等。</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549"/>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比赛为西安市青少年排球锦标赛，暂定时间：</w:t>
                  </w:r>
                  <w:r>
                    <w:rPr>
                      <w:rFonts w:ascii="仿宋_GB2312" w:hAnsi="仿宋_GB2312" w:cs="仿宋_GB2312" w:eastAsia="仿宋_GB2312"/>
                      <w:sz w:val="24"/>
                      <w:color w:val="000000"/>
                    </w:rPr>
                    <w:t>2026年4月30日-2026年5月9日（最终时间以采购人通知为准），共10天，大约600人，以实际报名为准。</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bl>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0"/>
              <w:gridCol w:w="82"/>
              <w:gridCol w:w="141"/>
              <w:gridCol w:w="147"/>
              <w:gridCol w:w="402"/>
              <w:gridCol w:w="79"/>
              <w:gridCol w:w="79"/>
              <w:gridCol w:w="198"/>
              <w:gridCol w:w="354"/>
              <w:gridCol w:w="0"/>
            </w:tblGrid>
            <w:tr>
              <w:tc>
                <w:tcPr>
                  <w:tcW w:type="dxa" w:w="0"/>
                </w:tcPr>
                <w:p>
                  <w:pPr>
                    <w:pStyle w:val="null3"/>
                  </w:pPr>
                  <w:r>
                    <w:rPr>
                      <w:rFonts w:ascii="仿宋_GB2312" w:hAnsi="仿宋_GB2312" w:cs="仿宋_GB2312" w:eastAsia="仿宋_GB2312"/>
                      <w:sz w:val="19"/>
                    </w:rPr>
                    <w:t xml:space="preserve"> </w:t>
                  </w:r>
                </w:p>
              </w:tc>
              <w:tc>
                <w:tcPr>
                  <w:tcW w:type="dxa" w:w="1482"/>
                  <w:gridSpan w:val="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2026年西安市青少年排球公开赛</w:t>
                  </w:r>
                </w:p>
              </w:tc>
            </w:tr>
            <w:tr>
              <w:tc>
                <w:tcPr>
                  <w:tcW w:type="dxa" w:w="8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1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项目</w:t>
                  </w:r>
                </w:p>
              </w:tc>
              <w:tc>
                <w:tcPr>
                  <w:tcW w:type="dxa" w:w="1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内容</w:t>
                  </w:r>
                </w:p>
              </w:tc>
              <w:tc>
                <w:tcPr>
                  <w:tcW w:type="dxa" w:w="4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要求</w:t>
                  </w:r>
                </w:p>
              </w:tc>
              <w:tc>
                <w:tcPr>
                  <w:tcW w:type="dxa" w:w="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c>
                <w:tcPr>
                  <w:tcW w:type="dxa" w:w="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比赛天数系数（一次性必需品记为</w:t>
                  </w:r>
                  <w:r>
                    <w:rPr>
                      <w:rFonts w:ascii="仿宋_GB2312" w:hAnsi="仿宋_GB2312" w:cs="仿宋_GB2312" w:eastAsia="仿宋_GB2312"/>
                      <w:sz w:val="24"/>
                      <w:color w:val="000000"/>
                    </w:rPr>
                    <w:t>1）</w:t>
                  </w:r>
                </w:p>
              </w:tc>
              <w:tc>
                <w:tcPr>
                  <w:tcW w:type="dxa" w:w="3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82"/>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赛前准备</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竞赛编排系统</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82"/>
                  <w:gridSpan w:val="2"/>
                  <w:vMerge/>
                  <w:tcBorders>
                    <w:top w:val="none" w:color="000000" w:sz="4"/>
                    <w:left w:val="single" w:color="000000" w:sz="4"/>
                    <w:bottom w:val="single" w:color="000000" w:sz="4"/>
                    <w:right w:val="single" w:color="000000" w:sz="4"/>
                  </w:tcBorders>
                </w:tcPr>
                <w:p/>
              </w:tc>
              <w:tc>
                <w:tcPr>
                  <w:tcW w:type="dxa" w:w="141"/>
                  <w:vMerge/>
                  <w:tcBorders>
                    <w:top w:val="none" w:color="000000" w:sz="4"/>
                    <w:left w:val="none" w:color="000000" w:sz="4"/>
                    <w:bottom w:val="single" w:color="000000" w:sz="4"/>
                    <w:right w:val="single" w:color="000000" w:sz="4"/>
                  </w:tcBorders>
                </w:tcP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竞赛网络设备</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82"/>
                  <w:gridSpan w:val="2"/>
                  <w:vMerge/>
                  <w:tcBorders>
                    <w:top w:val="none" w:color="000000" w:sz="4"/>
                    <w:left w:val="single" w:color="000000" w:sz="4"/>
                    <w:bottom w:val="single" w:color="000000" w:sz="4"/>
                    <w:right w:val="single" w:color="000000" w:sz="4"/>
                  </w:tcBorders>
                </w:tcPr>
                <w:p/>
              </w:tc>
              <w:tc>
                <w:tcPr>
                  <w:tcW w:type="dxa" w:w="141"/>
                  <w:vMerge/>
                  <w:tcBorders>
                    <w:top w:val="none" w:color="000000" w:sz="4"/>
                    <w:left w:val="none" w:color="000000" w:sz="4"/>
                    <w:bottom w:val="single" w:color="000000" w:sz="4"/>
                    <w:right w:val="single" w:color="000000" w:sz="4"/>
                  </w:tcBorders>
                </w:tcP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秩序册</w:t>
                  </w:r>
                </w:p>
              </w:tc>
              <w:tc>
                <w:tcPr>
                  <w:tcW w:type="dxa" w:w="4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秩序册、成绩册、分秩序册的封皮</w:t>
                  </w:r>
                  <w:r>
                    <w:rPr>
                      <w:rFonts w:ascii="仿宋_GB2312" w:hAnsi="仿宋_GB2312" w:cs="仿宋_GB2312" w:eastAsia="仿宋_GB2312"/>
                      <w:sz w:val="24"/>
                      <w:color w:val="000000"/>
                    </w:rPr>
                    <w:t>、底页及相关部分需铜版纸、彩页</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册</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82"/>
                  <w:gridSpan w:val="2"/>
                  <w:vMerge/>
                  <w:tcBorders>
                    <w:top w:val="none" w:color="000000" w:sz="4"/>
                    <w:left w:val="single" w:color="000000" w:sz="4"/>
                    <w:bottom w:val="single" w:color="000000" w:sz="4"/>
                    <w:right w:val="single" w:color="000000" w:sz="4"/>
                  </w:tcBorders>
                </w:tcPr>
                <w:p/>
              </w:tc>
              <w:tc>
                <w:tcPr>
                  <w:tcW w:type="dxa" w:w="141"/>
                  <w:vMerge/>
                  <w:tcBorders>
                    <w:top w:val="none" w:color="000000" w:sz="4"/>
                    <w:left w:val="none" w:color="000000" w:sz="4"/>
                    <w:bottom w:val="single" w:color="000000" w:sz="4"/>
                    <w:right w:val="single" w:color="000000" w:sz="4"/>
                  </w:tcBorders>
                </w:tcP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成绩册</w:t>
                  </w:r>
                </w:p>
              </w:tc>
              <w:tc>
                <w:tcPr>
                  <w:tcW w:type="dxa" w:w="402"/>
                  <w:vMerge/>
                  <w:tcBorders>
                    <w:top w:val="none" w:color="000000" w:sz="4"/>
                    <w:left w:val="none" w:color="000000" w:sz="4"/>
                    <w:bottom w:val="single" w:color="000000" w:sz="4"/>
                    <w:right w:val="single" w:color="000000" w:sz="4"/>
                  </w:tcBorders>
                </w:tcP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册</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82"/>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氛围布置</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赛事主形象</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喷绘等</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82"/>
                  <w:gridSpan w:val="2"/>
                  <w:vMerge/>
                  <w:tcBorders>
                    <w:top w:val="none" w:color="000000" w:sz="4"/>
                    <w:left w:val="single" w:color="000000" w:sz="4"/>
                    <w:bottom w:val="single" w:color="000000" w:sz="4"/>
                    <w:right w:val="single" w:color="000000" w:sz="4"/>
                  </w:tcBorders>
                </w:tcPr>
                <w:p/>
              </w:tc>
              <w:tc>
                <w:tcPr>
                  <w:tcW w:type="dxa" w:w="141"/>
                  <w:vMerge/>
                  <w:tcBorders>
                    <w:top w:val="none" w:color="000000" w:sz="4"/>
                    <w:left w:val="none" w:color="000000" w:sz="4"/>
                    <w:bottom w:val="single" w:color="000000" w:sz="4"/>
                    <w:right w:val="single" w:color="000000" w:sz="4"/>
                  </w:tcBorders>
                </w:tcP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场地</w:t>
                  </w:r>
                  <w:r>
                    <w:rPr>
                      <w:rFonts w:ascii="仿宋_GB2312" w:hAnsi="仿宋_GB2312" w:cs="仿宋_GB2312" w:eastAsia="仿宋_GB2312"/>
                      <w:sz w:val="24"/>
                      <w:color w:val="000000"/>
                    </w:rPr>
                    <w:t>A板</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环保</w:t>
                  </w:r>
                  <w:r>
                    <w:rPr>
                      <w:rFonts w:ascii="仿宋_GB2312" w:hAnsi="仿宋_GB2312" w:cs="仿宋_GB2312" w:eastAsia="仿宋_GB2312"/>
                      <w:sz w:val="24"/>
                      <w:color w:val="000000"/>
                    </w:rPr>
                    <w:t>A架</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2m</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82"/>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通用器材</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裁判桌椅</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1桌2椅为一套，8套</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82"/>
                  <w:gridSpan w:val="2"/>
                  <w:vMerge/>
                  <w:tcBorders>
                    <w:top w:val="none" w:color="000000" w:sz="4"/>
                    <w:left w:val="single" w:color="000000" w:sz="4"/>
                    <w:bottom w:val="single" w:color="000000" w:sz="4"/>
                    <w:right w:val="single" w:color="000000" w:sz="4"/>
                  </w:tcBorders>
                </w:tcPr>
                <w:p/>
              </w:tc>
              <w:tc>
                <w:tcPr>
                  <w:tcW w:type="dxa" w:w="141"/>
                  <w:vMerge/>
                  <w:tcBorders>
                    <w:top w:val="none" w:color="000000" w:sz="4"/>
                    <w:left w:val="none" w:color="000000" w:sz="4"/>
                    <w:bottom w:val="single" w:color="000000" w:sz="4"/>
                    <w:right w:val="single" w:color="000000" w:sz="4"/>
                  </w:tcBorders>
                </w:tcP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成绩公告展示</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喷绘</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82"/>
                  <w:gridSpan w:val="2"/>
                  <w:vMerge/>
                  <w:tcBorders>
                    <w:top w:val="none" w:color="000000" w:sz="4"/>
                    <w:left w:val="single" w:color="000000" w:sz="4"/>
                    <w:bottom w:val="single" w:color="000000" w:sz="4"/>
                    <w:right w:val="single" w:color="000000" w:sz="4"/>
                  </w:tcBorders>
                </w:tcPr>
                <w:p/>
              </w:tc>
              <w:tc>
                <w:tcPr>
                  <w:tcW w:type="dxa" w:w="141"/>
                  <w:vMerge/>
                  <w:tcBorders>
                    <w:top w:val="none" w:color="000000" w:sz="4"/>
                    <w:left w:val="none" w:color="000000" w:sz="4"/>
                    <w:bottom w:val="single" w:color="000000" w:sz="4"/>
                    <w:right w:val="single" w:color="000000" w:sz="4"/>
                  </w:tcBorders>
                </w:tcP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比赛用水</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500ml</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1500</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82"/>
                  <w:gridSpan w:val="2"/>
                  <w:vMerge/>
                  <w:tcBorders>
                    <w:top w:val="none" w:color="000000" w:sz="4"/>
                    <w:left w:val="single" w:color="000000" w:sz="4"/>
                    <w:bottom w:val="single" w:color="000000" w:sz="4"/>
                    <w:right w:val="single" w:color="000000" w:sz="4"/>
                  </w:tcBorders>
                </w:tcPr>
                <w:p/>
              </w:tc>
              <w:tc>
                <w:tcPr>
                  <w:tcW w:type="dxa" w:w="141"/>
                  <w:vMerge/>
                  <w:tcBorders>
                    <w:top w:val="none" w:color="000000" w:sz="4"/>
                    <w:left w:val="none" w:color="000000" w:sz="4"/>
                    <w:bottom w:val="single" w:color="000000" w:sz="4"/>
                    <w:right w:val="single" w:color="000000" w:sz="4"/>
                  </w:tcBorders>
                </w:tcP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集体颁奖台</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36人</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82"/>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竞赛专用及辅助器材</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对讲机</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专业频段</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对</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82"/>
                  <w:gridSpan w:val="2"/>
                  <w:vMerge/>
                  <w:tcBorders>
                    <w:top w:val="none" w:color="000000" w:sz="4"/>
                    <w:left w:val="single" w:color="000000" w:sz="4"/>
                    <w:bottom w:val="single" w:color="000000" w:sz="4"/>
                    <w:right w:val="single" w:color="000000" w:sz="4"/>
                  </w:tcBorders>
                </w:tcPr>
                <w:p/>
              </w:tc>
              <w:tc>
                <w:tcPr>
                  <w:tcW w:type="dxa" w:w="141"/>
                  <w:vMerge/>
                  <w:tcBorders>
                    <w:top w:val="none" w:color="000000" w:sz="4"/>
                    <w:left w:val="none" w:color="000000" w:sz="4"/>
                    <w:bottom w:val="single" w:color="000000" w:sz="4"/>
                    <w:right w:val="single" w:color="000000" w:sz="4"/>
                  </w:tcBorders>
                </w:tcP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夹板</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裁判执裁</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82"/>
                  <w:gridSpan w:val="2"/>
                  <w:vMerge/>
                  <w:tcBorders>
                    <w:top w:val="none" w:color="000000" w:sz="4"/>
                    <w:left w:val="single" w:color="000000" w:sz="4"/>
                    <w:bottom w:val="single" w:color="000000" w:sz="4"/>
                    <w:right w:val="single" w:color="000000" w:sz="4"/>
                  </w:tcBorders>
                </w:tcPr>
                <w:p/>
              </w:tc>
              <w:tc>
                <w:tcPr>
                  <w:tcW w:type="dxa" w:w="141"/>
                  <w:vMerge/>
                  <w:tcBorders>
                    <w:top w:val="none" w:color="000000" w:sz="4"/>
                    <w:left w:val="none" w:color="000000" w:sz="4"/>
                    <w:bottom w:val="single" w:color="000000" w:sz="4"/>
                    <w:right w:val="single" w:color="000000" w:sz="4"/>
                  </w:tcBorders>
                </w:tcP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笔</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按竞赛要求配备</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82"/>
                  <w:gridSpan w:val="2"/>
                  <w:vMerge/>
                  <w:tcBorders>
                    <w:top w:val="none" w:color="000000" w:sz="4"/>
                    <w:left w:val="single" w:color="000000" w:sz="4"/>
                    <w:bottom w:val="single" w:color="000000" w:sz="4"/>
                    <w:right w:val="single" w:color="000000" w:sz="4"/>
                  </w:tcBorders>
                </w:tcPr>
                <w:p/>
              </w:tc>
              <w:tc>
                <w:tcPr>
                  <w:tcW w:type="dxa" w:w="141"/>
                  <w:vMerge/>
                  <w:tcBorders>
                    <w:top w:val="none" w:color="000000" w:sz="4"/>
                    <w:left w:val="none" w:color="000000" w:sz="4"/>
                    <w:bottom w:val="single" w:color="000000" w:sz="4"/>
                    <w:right w:val="single" w:color="000000" w:sz="4"/>
                  </w:tcBorders>
                </w:tcP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打印纸</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85gA4打印纸</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82"/>
                  <w:gridSpan w:val="2"/>
                  <w:vMerge/>
                  <w:tcBorders>
                    <w:top w:val="none" w:color="000000" w:sz="4"/>
                    <w:left w:val="single" w:color="000000" w:sz="4"/>
                    <w:bottom w:val="single" w:color="000000" w:sz="4"/>
                    <w:right w:val="single" w:color="000000" w:sz="4"/>
                  </w:tcBorders>
                </w:tcPr>
                <w:p/>
              </w:tc>
              <w:tc>
                <w:tcPr>
                  <w:tcW w:type="dxa" w:w="141"/>
                  <w:vMerge/>
                  <w:tcBorders>
                    <w:top w:val="none" w:color="000000" w:sz="4"/>
                    <w:left w:val="none" w:color="000000" w:sz="4"/>
                    <w:bottom w:val="single" w:color="000000" w:sz="4"/>
                    <w:right w:val="single" w:color="000000" w:sz="4"/>
                  </w:tcBorders>
                </w:tcP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比赛用球</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比赛用球</w:t>
                  </w:r>
                  <w:r>
                    <w:rPr>
                      <w:rFonts w:ascii="仿宋_GB2312" w:hAnsi="仿宋_GB2312" w:cs="仿宋_GB2312" w:eastAsia="仿宋_GB2312"/>
                      <w:sz w:val="24"/>
                      <w:color w:val="000000"/>
                    </w:rPr>
                    <w:t>18个（6块场地）</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82"/>
                  <w:gridSpan w:val="2"/>
                  <w:vMerge/>
                  <w:tcBorders>
                    <w:top w:val="none" w:color="000000" w:sz="4"/>
                    <w:left w:val="single" w:color="000000" w:sz="4"/>
                    <w:bottom w:val="single" w:color="000000" w:sz="4"/>
                    <w:right w:val="single" w:color="000000" w:sz="4"/>
                  </w:tcBorders>
                </w:tcPr>
                <w:p/>
              </w:tc>
              <w:tc>
                <w:tcPr>
                  <w:tcW w:type="dxa" w:w="141"/>
                  <w:vMerge/>
                  <w:tcBorders>
                    <w:top w:val="none" w:color="000000" w:sz="4"/>
                    <w:left w:val="none" w:color="000000" w:sz="4"/>
                    <w:bottom w:val="single" w:color="000000" w:sz="4"/>
                    <w:right w:val="single" w:color="000000" w:sz="4"/>
                  </w:tcBorders>
                </w:tcP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参赛证</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运动员、裁判等，约</w:t>
                  </w:r>
                  <w:r>
                    <w:rPr>
                      <w:rFonts w:ascii="仿宋_GB2312" w:hAnsi="仿宋_GB2312" w:cs="仿宋_GB2312" w:eastAsia="仿宋_GB2312"/>
                      <w:sz w:val="24"/>
                      <w:color w:val="000000"/>
                    </w:rPr>
                    <w:t>800个，以具体实际数量为准</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82"/>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人员配置</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裁判组</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不少于</w:t>
                  </w:r>
                  <w:r>
                    <w:rPr>
                      <w:rFonts w:ascii="仿宋_GB2312" w:hAnsi="仿宋_GB2312" w:cs="仿宋_GB2312" w:eastAsia="仿宋_GB2312"/>
                      <w:sz w:val="24"/>
                      <w:color w:val="000000"/>
                    </w:rPr>
                    <w:t>55人，根据竞赛日程天数+报到赛前培训联调2天+赛后收纳器材及总结1天进行核算</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55</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82"/>
                  <w:gridSpan w:val="2"/>
                  <w:vMerge/>
                  <w:tcBorders>
                    <w:top w:val="none" w:color="000000" w:sz="4"/>
                    <w:left w:val="single" w:color="000000" w:sz="4"/>
                    <w:bottom w:val="single" w:color="000000" w:sz="4"/>
                    <w:right w:val="single" w:color="000000" w:sz="4"/>
                  </w:tcBorders>
                </w:tcPr>
                <w:p/>
              </w:tc>
              <w:tc>
                <w:tcPr>
                  <w:tcW w:type="dxa" w:w="141"/>
                  <w:vMerge/>
                  <w:tcBorders>
                    <w:top w:val="none" w:color="000000" w:sz="4"/>
                    <w:left w:val="none" w:color="000000" w:sz="4"/>
                    <w:bottom w:val="single" w:color="000000" w:sz="4"/>
                    <w:right w:val="single" w:color="000000" w:sz="4"/>
                  </w:tcBorders>
                </w:tcP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工作人员</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根据竞赛日程天数</w:t>
                  </w:r>
                  <w:r>
                    <w:rPr>
                      <w:rFonts w:ascii="仿宋_GB2312" w:hAnsi="仿宋_GB2312" w:cs="仿宋_GB2312" w:eastAsia="仿宋_GB2312"/>
                      <w:sz w:val="24"/>
                      <w:color w:val="000000"/>
                    </w:rPr>
                    <w:t>+报到赛前培训联调2天+赛后收纳器材及总结1天进行核算</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82"/>
                  <w:gridSpan w:val="2"/>
                  <w:vMerge/>
                  <w:tcBorders>
                    <w:top w:val="none" w:color="000000" w:sz="4"/>
                    <w:left w:val="single" w:color="000000" w:sz="4"/>
                    <w:bottom w:val="single" w:color="000000" w:sz="4"/>
                    <w:right w:val="single" w:color="000000" w:sz="4"/>
                  </w:tcBorders>
                </w:tcPr>
                <w:p/>
              </w:tc>
              <w:tc>
                <w:tcPr>
                  <w:tcW w:type="dxa" w:w="141"/>
                  <w:vMerge/>
                  <w:tcBorders>
                    <w:top w:val="none" w:color="000000" w:sz="4"/>
                    <w:left w:val="none" w:color="000000" w:sz="4"/>
                    <w:bottom w:val="single" w:color="000000" w:sz="4"/>
                    <w:right w:val="single" w:color="000000" w:sz="4"/>
                  </w:tcBorders>
                </w:tcP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医疗救护车</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救护车须配备司机、医生、护士各</w:t>
                  </w:r>
                  <w:r>
                    <w:rPr>
                      <w:rFonts w:ascii="仿宋_GB2312" w:hAnsi="仿宋_GB2312" w:cs="仿宋_GB2312" w:eastAsia="仿宋_GB2312"/>
                      <w:sz w:val="24"/>
                      <w:color w:val="000000"/>
                    </w:rPr>
                    <w:t>1名</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辆</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8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保险</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涉赛人员保险</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4"/>
                      <w:color w:val="000000"/>
                    </w:rPr>
                    <w:t>800人，所有涉赛人员（运动员、裁判、工作人员）均须购买保险，以实际情况为准</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82"/>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1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媒体宣传</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视频及图片</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开赛、集锦、完赛</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82"/>
                  <w:gridSpan w:val="2"/>
                  <w:vMerge/>
                  <w:tcBorders>
                    <w:top w:val="none" w:color="000000" w:sz="4"/>
                    <w:left w:val="single" w:color="000000" w:sz="4"/>
                    <w:bottom w:val="single" w:color="000000" w:sz="4"/>
                    <w:right w:val="single" w:color="000000" w:sz="4"/>
                  </w:tcBorders>
                </w:tcPr>
                <w:p/>
              </w:tc>
              <w:tc>
                <w:tcPr>
                  <w:tcW w:type="dxa" w:w="141"/>
                  <w:vMerge/>
                  <w:tcBorders>
                    <w:top w:val="none" w:color="000000" w:sz="4"/>
                    <w:left w:val="none" w:color="000000" w:sz="4"/>
                    <w:bottom w:val="single" w:color="000000" w:sz="4"/>
                    <w:right w:val="single" w:color="000000" w:sz="4"/>
                  </w:tcBorders>
                </w:tcP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媒体宣传</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官方媒体及网络媒体</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家</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82"/>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1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会议室、功能房、运动员热身区</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技术会</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含多媒体及会场服务，容纳</w:t>
                  </w:r>
                  <w:r>
                    <w:rPr>
                      <w:rFonts w:ascii="仿宋_GB2312" w:hAnsi="仿宋_GB2312" w:cs="仿宋_GB2312" w:eastAsia="仿宋_GB2312"/>
                      <w:sz w:val="24"/>
                      <w:color w:val="000000"/>
                    </w:rPr>
                    <w:t>100人会议室，含多媒体，需提前布置好会场，桌签，桌标等；使用时间半天</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场</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82"/>
                  <w:gridSpan w:val="2"/>
                  <w:vMerge/>
                  <w:tcBorders>
                    <w:top w:val="none" w:color="000000" w:sz="4"/>
                    <w:left w:val="single" w:color="000000" w:sz="4"/>
                    <w:bottom w:val="single" w:color="000000" w:sz="4"/>
                    <w:right w:val="single" w:color="000000" w:sz="4"/>
                  </w:tcBorders>
                </w:tcPr>
                <w:p/>
              </w:tc>
              <w:tc>
                <w:tcPr>
                  <w:tcW w:type="dxa" w:w="141"/>
                  <w:vMerge/>
                  <w:tcBorders>
                    <w:top w:val="none" w:color="000000" w:sz="4"/>
                    <w:left w:val="none" w:color="000000" w:sz="4"/>
                    <w:bottom w:val="single" w:color="000000" w:sz="4"/>
                    <w:right w:val="single" w:color="000000" w:sz="4"/>
                  </w:tcBorders>
                </w:tcP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功能房</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按照采购人要求布置，竞赛秘书室、</w:t>
                  </w:r>
                  <w:r>
                    <w:rPr>
                      <w:rFonts w:ascii="仿宋_GB2312" w:hAnsi="仿宋_GB2312" w:cs="仿宋_GB2312" w:eastAsia="仿宋_GB2312"/>
                      <w:sz w:val="24"/>
                      <w:color w:val="000000"/>
                    </w:rPr>
                    <w:t>器材存放室裁判员休息室、工作人员</w:t>
                  </w:r>
                  <w:r>
                    <w:rPr>
                      <w:rFonts w:ascii="仿宋_GB2312" w:hAnsi="仿宋_GB2312" w:cs="仿宋_GB2312" w:eastAsia="仿宋_GB2312"/>
                      <w:sz w:val="24"/>
                      <w:color w:val="000000"/>
                    </w:rPr>
                    <w:t>休息室等、按照采购人要求布置；</w:t>
                  </w:r>
                  <w:r>
                    <w:rPr>
                      <w:rFonts w:ascii="仿宋_GB2312" w:hAnsi="仿宋_GB2312" w:cs="仿宋_GB2312" w:eastAsia="仿宋_GB2312"/>
                      <w:sz w:val="24"/>
                      <w:color w:val="000000"/>
                    </w:rPr>
                    <w:t>使用时限为赛事筹备起至赛事结束。</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间</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82"/>
                  <w:gridSpan w:val="2"/>
                  <w:vMerge/>
                  <w:tcBorders>
                    <w:top w:val="none" w:color="000000" w:sz="4"/>
                    <w:left w:val="single" w:color="000000" w:sz="4"/>
                    <w:bottom w:val="single" w:color="000000" w:sz="4"/>
                    <w:right w:val="single" w:color="000000" w:sz="4"/>
                  </w:tcBorders>
                </w:tcPr>
                <w:p/>
              </w:tc>
              <w:tc>
                <w:tcPr>
                  <w:tcW w:type="dxa" w:w="141"/>
                  <w:vMerge/>
                  <w:tcBorders>
                    <w:top w:val="none" w:color="000000" w:sz="4"/>
                    <w:left w:val="none" w:color="000000" w:sz="4"/>
                    <w:bottom w:val="single" w:color="000000" w:sz="4"/>
                    <w:right w:val="single" w:color="000000" w:sz="4"/>
                  </w:tcBorders>
                </w:tcP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运动员热身区</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含场地布置</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片</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82"/>
                  <w:gridSpan w:val="9"/>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所有制作、宣传需经采购人审核同意后方可发布，赛事所有原始资料报采购人留存。</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82"/>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供应商除报名资审事宜以外事项，均需做好相应服务保障，场地设施布置、器材准备、电计设备、物料及宣传类制作、劳务发放、会议组织（含会场布置、参赛相关物资分类发放）、安全报备、市场运营、医疗救护、媒体报道宣传制作等。</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82"/>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比赛为西安市青少年排球公开赛，拟定时间：</w:t>
                  </w:r>
                  <w:r>
                    <w:rPr>
                      <w:rFonts w:ascii="仿宋_GB2312" w:hAnsi="仿宋_GB2312" w:cs="仿宋_GB2312" w:eastAsia="仿宋_GB2312"/>
                      <w:sz w:val="24"/>
                      <w:color w:val="000000"/>
                    </w:rPr>
                    <w:t>2026年11月6日-2026年15日（最终时间以采购人通知为准），共10天，大约800人，以实际报名为准。</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bl>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标的名称：2026年西安市青少年网球锦标赛和公开赛</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01"/>
              <w:gridCol w:w="371"/>
              <w:gridCol w:w="459"/>
              <w:gridCol w:w="676"/>
              <w:gridCol w:w="201"/>
              <w:gridCol w:w="201"/>
              <w:gridCol w:w="242"/>
              <w:gridCol w:w="201"/>
            </w:tblGrid>
            <w:tr>
              <w:tc>
                <w:tcPr>
                  <w:tcW w:type="dxa" w:w="2552"/>
                  <w:gridSpan w:val="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2026年西安市青少年网球锦标赛</w:t>
                  </w:r>
                </w:p>
              </w:tc>
            </w:tr>
            <w:tr>
              <w:tc>
                <w:tcPr>
                  <w:tcW w:type="dxa" w:w="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3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项目</w:t>
                  </w:r>
                </w:p>
              </w:tc>
              <w:tc>
                <w:tcPr>
                  <w:tcW w:type="dxa" w:w="4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内容</w:t>
                  </w:r>
                </w:p>
              </w:tc>
              <w:tc>
                <w:tcPr>
                  <w:tcW w:type="dxa" w:w="6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要求</w:t>
                  </w:r>
                </w:p>
              </w:tc>
              <w:tc>
                <w:tcPr>
                  <w:tcW w:type="dxa" w:w="2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c>
                <w:tcPr>
                  <w:tcW w:type="dxa" w:w="2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比赛天数系数（一次性必需品记为</w:t>
                  </w:r>
                  <w:r>
                    <w:rPr>
                      <w:rFonts w:ascii="仿宋_GB2312" w:hAnsi="仿宋_GB2312" w:cs="仿宋_GB2312" w:eastAsia="仿宋_GB2312"/>
                      <w:sz w:val="24"/>
                      <w:color w:val="000000"/>
                    </w:rPr>
                    <w:t>1）</w:t>
                  </w:r>
                </w:p>
              </w:tc>
              <w:tc>
                <w:tcPr>
                  <w:tcW w:type="dxa" w:w="2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r>
            <w:tr>
              <w:tc>
                <w:tcPr>
                  <w:tcW w:type="dxa" w:w="2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赛前准备</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秩序册</w:t>
                  </w:r>
                </w:p>
              </w:tc>
              <w:tc>
                <w:tcPr>
                  <w:tcW w:type="dxa" w:w="6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秩序册、成绩册、分秩序册的封皮</w:t>
                  </w:r>
                  <w:r>
                    <w:rPr>
                      <w:rFonts w:ascii="仿宋_GB2312" w:hAnsi="仿宋_GB2312" w:cs="仿宋_GB2312" w:eastAsia="仿宋_GB2312"/>
                      <w:sz w:val="24"/>
                      <w:color w:val="000000"/>
                    </w:rPr>
                    <w:t>、底页及相关部分需铜版纸、彩页</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册</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1"/>
                  <w:vMerge/>
                  <w:tcBorders>
                    <w:top w:val="none" w:color="000000" w:sz="4"/>
                    <w:left w:val="single" w:color="000000" w:sz="4"/>
                    <w:bottom w:val="single" w:color="000000" w:sz="4"/>
                    <w:right w:val="single" w:color="000000" w:sz="4"/>
                  </w:tcBorders>
                </w:tcPr>
                <w:p/>
              </w:tc>
              <w:tc>
                <w:tcPr>
                  <w:tcW w:type="dxa" w:w="371"/>
                  <w:vMerge/>
                  <w:tcBorders>
                    <w:top w:val="none" w:color="000000" w:sz="4"/>
                    <w:left w:val="none" w:color="000000" w:sz="4"/>
                    <w:bottom w:val="single" w:color="000000" w:sz="4"/>
                    <w:right w:val="single" w:color="000000" w:sz="4"/>
                  </w:tcBorders>
                </w:tcP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成绩册</w:t>
                  </w:r>
                </w:p>
              </w:tc>
              <w:tc>
                <w:tcPr>
                  <w:tcW w:type="dxa" w:w="676"/>
                  <w:vMerge/>
                  <w:tcBorders>
                    <w:top w:val="none" w:color="000000" w:sz="4"/>
                    <w:left w:val="none" w:color="000000" w:sz="4"/>
                    <w:bottom w:val="single" w:color="000000" w:sz="4"/>
                    <w:right w:val="single" w:color="000000" w:sz="4"/>
                  </w:tcBorders>
                </w:tcP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册</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氛围布置</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赛事主形象</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喷绘等</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1"/>
                  <w:vMerge/>
                  <w:tcBorders>
                    <w:top w:val="none" w:color="000000" w:sz="4"/>
                    <w:left w:val="single" w:color="000000" w:sz="4"/>
                    <w:bottom w:val="single" w:color="000000" w:sz="4"/>
                    <w:right w:val="single" w:color="000000" w:sz="4"/>
                  </w:tcBorders>
                </w:tcPr>
                <w:p/>
              </w:tc>
              <w:tc>
                <w:tcPr>
                  <w:tcW w:type="dxa" w:w="371"/>
                  <w:vMerge/>
                  <w:tcBorders>
                    <w:top w:val="none" w:color="000000" w:sz="4"/>
                    <w:left w:val="none" w:color="000000" w:sz="4"/>
                    <w:bottom w:val="single" w:color="000000" w:sz="4"/>
                    <w:right w:val="single" w:color="000000" w:sz="4"/>
                  </w:tcBorders>
                </w:tcP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音响设备</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1"/>
                  <w:vMerge/>
                  <w:tcBorders>
                    <w:top w:val="none" w:color="000000" w:sz="4"/>
                    <w:left w:val="single" w:color="000000" w:sz="4"/>
                    <w:bottom w:val="single" w:color="000000" w:sz="4"/>
                    <w:right w:val="single" w:color="000000" w:sz="4"/>
                  </w:tcBorders>
                </w:tcPr>
                <w:p/>
              </w:tc>
              <w:tc>
                <w:tcPr>
                  <w:tcW w:type="dxa" w:w="371"/>
                  <w:vMerge/>
                  <w:tcBorders>
                    <w:top w:val="none" w:color="000000" w:sz="4"/>
                    <w:left w:val="none" w:color="000000" w:sz="4"/>
                    <w:bottom w:val="single" w:color="000000" w:sz="4"/>
                    <w:right w:val="single" w:color="000000" w:sz="4"/>
                  </w:tcBorders>
                </w:tcP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场地</w:t>
                  </w:r>
                  <w:r>
                    <w:rPr>
                      <w:rFonts w:ascii="仿宋_GB2312" w:hAnsi="仿宋_GB2312" w:cs="仿宋_GB2312" w:eastAsia="仿宋_GB2312"/>
                      <w:sz w:val="24"/>
                      <w:color w:val="000000"/>
                    </w:rPr>
                    <w:t>A板</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环保</w:t>
                  </w:r>
                  <w:r>
                    <w:rPr>
                      <w:rFonts w:ascii="仿宋_GB2312" w:hAnsi="仿宋_GB2312" w:cs="仿宋_GB2312" w:eastAsia="仿宋_GB2312"/>
                      <w:sz w:val="24"/>
                      <w:color w:val="000000"/>
                    </w:rPr>
                    <w:t>A架</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2m</w:t>
                  </w:r>
                </w:p>
              </w:tc>
            </w:tr>
            <w:tr>
              <w:tc>
                <w:tcPr>
                  <w:tcW w:type="dxa" w:w="2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通用器材</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成绩公告展示</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喷绘</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1"/>
                  <w:vMerge/>
                  <w:tcBorders>
                    <w:top w:val="none" w:color="000000" w:sz="4"/>
                    <w:left w:val="single" w:color="000000" w:sz="4"/>
                    <w:bottom w:val="single" w:color="000000" w:sz="4"/>
                    <w:right w:val="single" w:color="000000" w:sz="4"/>
                  </w:tcBorders>
                </w:tcPr>
                <w:p/>
              </w:tc>
              <w:tc>
                <w:tcPr>
                  <w:tcW w:type="dxa" w:w="371"/>
                  <w:vMerge/>
                  <w:tcBorders>
                    <w:top w:val="none" w:color="000000" w:sz="4"/>
                    <w:left w:val="none" w:color="000000" w:sz="4"/>
                    <w:bottom w:val="single" w:color="000000" w:sz="4"/>
                    <w:right w:val="single" w:color="000000" w:sz="4"/>
                  </w:tcBorders>
                </w:tcP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比赛用水</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500ml</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1"/>
                  <w:vMerge/>
                  <w:tcBorders>
                    <w:top w:val="none" w:color="000000" w:sz="4"/>
                    <w:left w:val="single" w:color="000000" w:sz="4"/>
                    <w:bottom w:val="single" w:color="000000" w:sz="4"/>
                    <w:right w:val="single" w:color="000000" w:sz="4"/>
                  </w:tcBorders>
                </w:tcPr>
                <w:p/>
              </w:tc>
              <w:tc>
                <w:tcPr>
                  <w:tcW w:type="dxa" w:w="371"/>
                  <w:vMerge/>
                  <w:tcBorders>
                    <w:top w:val="none" w:color="000000" w:sz="4"/>
                    <w:left w:val="none" w:color="000000" w:sz="4"/>
                    <w:bottom w:val="single" w:color="000000" w:sz="4"/>
                    <w:right w:val="single" w:color="000000" w:sz="4"/>
                  </w:tcBorders>
                </w:tcP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颁奖台</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竞赛专用及辅助器材</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夹板</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裁判执裁</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1"/>
                  <w:vMerge/>
                  <w:tcBorders>
                    <w:top w:val="none" w:color="000000" w:sz="4"/>
                    <w:left w:val="single" w:color="000000" w:sz="4"/>
                    <w:bottom w:val="single" w:color="000000" w:sz="4"/>
                    <w:right w:val="single" w:color="000000" w:sz="4"/>
                  </w:tcBorders>
                </w:tcPr>
                <w:p/>
              </w:tc>
              <w:tc>
                <w:tcPr>
                  <w:tcW w:type="dxa" w:w="371"/>
                  <w:vMerge/>
                  <w:tcBorders>
                    <w:top w:val="none" w:color="000000" w:sz="4"/>
                    <w:left w:val="none" w:color="000000" w:sz="4"/>
                    <w:bottom w:val="single" w:color="000000" w:sz="4"/>
                    <w:right w:val="single" w:color="000000" w:sz="4"/>
                  </w:tcBorders>
                </w:tcP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笔</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按竞赛要求配备</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1"/>
                  <w:vMerge/>
                  <w:tcBorders>
                    <w:top w:val="none" w:color="000000" w:sz="4"/>
                    <w:left w:val="single" w:color="000000" w:sz="4"/>
                    <w:bottom w:val="single" w:color="000000" w:sz="4"/>
                    <w:right w:val="single" w:color="000000" w:sz="4"/>
                  </w:tcBorders>
                </w:tcPr>
                <w:p/>
              </w:tc>
              <w:tc>
                <w:tcPr>
                  <w:tcW w:type="dxa" w:w="371"/>
                  <w:vMerge/>
                  <w:tcBorders>
                    <w:top w:val="none" w:color="000000" w:sz="4"/>
                    <w:left w:val="none" w:color="000000" w:sz="4"/>
                    <w:bottom w:val="single" w:color="000000" w:sz="4"/>
                    <w:right w:val="single" w:color="000000" w:sz="4"/>
                  </w:tcBorders>
                </w:tcP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打印纸</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85gA4打印纸</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1"/>
                  <w:vMerge/>
                  <w:tcBorders>
                    <w:top w:val="none" w:color="000000" w:sz="4"/>
                    <w:left w:val="single" w:color="000000" w:sz="4"/>
                    <w:bottom w:val="single" w:color="000000" w:sz="4"/>
                    <w:right w:val="single" w:color="000000" w:sz="4"/>
                  </w:tcBorders>
                </w:tcPr>
                <w:p/>
              </w:tc>
              <w:tc>
                <w:tcPr>
                  <w:tcW w:type="dxa" w:w="371"/>
                  <w:vMerge/>
                  <w:tcBorders>
                    <w:top w:val="none" w:color="000000" w:sz="4"/>
                    <w:left w:val="none" w:color="000000" w:sz="4"/>
                    <w:bottom w:val="single" w:color="000000" w:sz="4"/>
                    <w:right w:val="single" w:color="000000" w:sz="4"/>
                  </w:tcBorders>
                </w:tcP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比赛用球</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2箱</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1"/>
                  <w:vMerge/>
                  <w:tcBorders>
                    <w:top w:val="none" w:color="000000" w:sz="4"/>
                    <w:left w:val="single" w:color="000000" w:sz="4"/>
                    <w:bottom w:val="single" w:color="000000" w:sz="4"/>
                    <w:right w:val="single" w:color="000000" w:sz="4"/>
                  </w:tcBorders>
                </w:tcPr>
                <w:p/>
              </w:tc>
              <w:tc>
                <w:tcPr>
                  <w:tcW w:type="dxa" w:w="371"/>
                  <w:vMerge/>
                  <w:tcBorders>
                    <w:top w:val="none" w:color="000000" w:sz="4"/>
                    <w:left w:val="none" w:color="000000" w:sz="4"/>
                    <w:bottom w:val="single" w:color="000000" w:sz="4"/>
                    <w:right w:val="single" w:color="000000" w:sz="4"/>
                  </w:tcBorders>
                </w:tcP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参赛证</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运动员、裁判等，约</w:t>
                  </w:r>
                  <w:r>
                    <w:rPr>
                      <w:rFonts w:ascii="仿宋_GB2312" w:hAnsi="仿宋_GB2312" w:cs="仿宋_GB2312" w:eastAsia="仿宋_GB2312"/>
                      <w:sz w:val="24"/>
                      <w:color w:val="000000"/>
                    </w:rPr>
                    <w:t>300个，以具体实际数量为准</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人员配置</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裁判组</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不少于</w:t>
                  </w:r>
                  <w:r>
                    <w:rPr>
                      <w:rFonts w:ascii="仿宋_GB2312" w:hAnsi="仿宋_GB2312" w:cs="仿宋_GB2312" w:eastAsia="仿宋_GB2312"/>
                      <w:sz w:val="24"/>
                      <w:color w:val="000000"/>
                    </w:rPr>
                    <w:t>35人，根据竞赛日程天数+报到赛前培训联调1天+赛后收纳器材及总结1天进行核算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1"/>
                  <w:vMerge/>
                  <w:tcBorders>
                    <w:top w:val="none" w:color="000000" w:sz="4"/>
                    <w:left w:val="single" w:color="000000" w:sz="4"/>
                    <w:bottom w:val="single" w:color="000000" w:sz="4"/>
                    <w:right w:val="single" w:color="000000" w:sz="4"/>
                  </w:tcBorders>
                </w:tcPr>
                <w:p/>
              </w:tc>
              <w:tc>
                <w:tcPr>
                  <w:tcW w:type="dxa" w:w="371"/>
                  <w:vMerge/>
                  <w:tcBorders>
                    <w:top w:val="none" w:color="000000" w:sz="4"/>
                    <w:left w:val="none" w:color="000000" w:sz="4"/>
                    <w:bottom w:val="single" w:color="000000" w:sz="4"/>
                    <w:right w:val="single" w:color="000000" w:sz="4"/>
                  </w:tcBorders>
                </w:tcP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工作人员</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根据竞赛日程天数</w:t>
                  </w:r>
                  <w:r>
                    <w:rPr>
                      <w:rFonts w:ascii="仿宋_GB2312" w:hAnsi="仿宋_GB2312" w:cs="仿宋_GB2312" w:eastAsia="仿宋_GB2312"/>
                      <w:sz w:val="24"/>
                      <w:color w:val="000000"/>
                    </w:rPr>
                    <w:t>+报到赛前培训联调2天+赛后收纳器材及总结1天进行核算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1"/>
                  <w:vMerge/>
                  <w:tcBorders>
                    <w:top w:val="none" w:color="000000" w:sz="4"/>
                    <w:left w:val="single" w:color="000000" w:sz="4"/>
                    <w:bottom w:val="single" w:color="000000" w:sz="4"/>
                    <w:right w:val="single" w:color="000000" w:sz="4"/>
                  </w:tcBorders>
                </w:tcPr>
                <w:p/>
              </w:tc>
              <w:tc>
                <w:tcPr>
                  <w:tcW w:type="dxa" w:w="371"/>
                  <w:vMerge/>
                  <w:tcBorders>
                    <w:top w:val="none" w:color="000000" w:sz="4"/>
                    <w:left w:val="none" w:color="000000" w:sz="4"/>
                    <w:bottom w:val="single" w:color="000000" w:sz="4"/>
                    <w:right w:val="single" w:color="000000" w:sz="4"/>
                  </w:tcBorders>
                </w:tcP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医疗救护车</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救护车须配备司机、医生、护士各</w:t>
                  </w:r>
                  <w:r>
                    <w:rPr>
                      <w:rFonts w:ascii="仿宋_GB2312" w:hAnsi="仿宋_GB2312" w:cs="仿宋_GB2312" w:eastAsia="仿宋_GB2312"/>
                      <w:sz w:val="24"/>
                      <w:color w:val="000000"/>
                    </w:rPr>
                    <w:t>1名</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辆</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保险</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涉赛人员保险</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4"/>
                      <w:color w:val="000000"/>
                    </w:rPr>
                    <w:t>50人，所有涉赛人员（运动员、裁判、工作人员）均须购买保险，以实际情况为准</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用餐</w:t>
                  </w:r>
                </w:p>
              </w:tc>
              <w:tc>
                <w:tcPr>
                  <w:tcW w:type="dxa" w:w="45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工作人员</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4"/>
                      <w:color w:val="000000"/>
                    </w:rPr>
                    <w:t>10人，实际以具体实际数量为准。工作人员午餐，按实际竞赛日程+联调1天</w:t>
                  </w:r>
                </w:p>
              </w:tc>
              <w:tc>
                <w:tcPr>
                  <w:tcW w:type="dxa" w:w="20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0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w:t>
                  </w:r>
                </w:p>
              </w:tc>
              <w:tc>
                <w:tcPr>
                  <w:tcW w:type="dxa" w:w="24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会议室、功能房、运动员热身区</w:t>
                  </w:r>
                </w:p>
              </w:tc>
              <w:tc>
                <w:tcPr>
                  <w:tcW w:type="dxa" w:w="4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技术会</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含多媒体及会场服务，容纳</w:t>
                  </w:r>
                  <w:r>
                    <w:rPr>
                      <w:rFonts w:ascii="仿宋_GB2312" w:hAnsi="仿宋_GB2312" w:cs="仿宋_GB2312" w:eastAsia="仿宋_GB2312"/>
                      <w:sz w:val="24"/>
                      <w:color w:val="000000"/>
                    </w:rPr>
                    <w:t>20人会议室，含多媒体，需提前布置好会场，桌签，桌标等；使用时间半天</w:t>
                  </w:r>
                </w:p>
              </w:tc>
              <w:tc>
                <w:tcPr>
                  <w:tcW w:type="dxa" w:w="2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场</w:t>
                  </w:r>
                </w:p>
              </w:tc>
              <w:tc>
                <w:tcPr>
                  <w:tcW w:type="dxa" w:w="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1"/>
                  <w:vMerge/>
                  <w:tcBorders>
                    <w:top w:val="none" w:color="000000" w:sz="4"/>
                    <w:left w:val="single" w:color="000000" w:sz="4"/>
                    <w:bottom w:val="single" w:color="000000" w:sz="4"/>
                    <w:right w:val="single" w:color="000000" w:sz="4"/>
                  </w:tcBorders>
                </w:tcPr>
                <w:p/>
              </w:tc>
              <w:tc>
                <w:tcPr>
                  <w:tcW w:type="dxa" w:w="371"/>
                  <w:vMerge/>
                  <w:tcBorders>
                    <w:top w:val="none" w:color="000000" w:sz="4"/>
                    <w:left w:val="none" w:color="000000" w:sz="4"/>
                    <w:bottom w:val="single" w:color="000000" w:sz="4"/>
                    <w:right w:val="single" w:color="000000" w:sz="4"/>
                  </w:tcBorders>
                </w:tcP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功能房</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按照采购人要求布置，竞赛秘书室、</w:t>
                  </w:r>
                  <w:r>
                    <w:rPr>
                      <w:rFonts w:ascii="仿宋_GB2312" w:hAnsi="仿宋_GB2312" w:cs="仿宋_GB2312" w:eastAsia="仿宋_GB2312"/>
                      <w:sz w:val="24"/>
                      <w:color w:val="000000"/>
                    </w:rPr>
                    <w:t>器材存放室裁判员休息室、工作人员</w:t>
                  </w:r>
                  <w:r>
                    <w:rPr>
                      <w:rFonts w:ascii="仿宋_GB2312" w:hAnsi="仿宋_GB2312" w:cs="仿宋_GB2312" w:eastAsia="仿宋_GB2312"/>
                      <w:sz w:val="24"/>
                      <w:color w:val="000000"/>
                    </w:rPr>
                    <w:t>休息室等、按照采购人要求布置；</w:t>
                  </w:r>
                  <w:r>
                    <w:rPr>
                      <w:rFonts w:ascii="仿宋_GB2312" w:hAnsi="仿宋_GB2312" w:cs="仿宋_GB2312" w:eastAsia="仿宋_GB2312"/>
                      <w:sz w:val="24"/>
                      <w:color w:val="000000"/>
                    </w:rPr>
                    <w:t>使用时限为赛事筹备起至赛事结束。</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间</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1"/>
                  <w:vMerge/>
                  <w:tcBorders>
                    <w:top w:val="none" w:color="000000" w:sz="4"/>
                    <w:left w:val="single" w:color="000000" w:sz="4"/>
                    <w:bottom w:val="single" w:color="000000" w:sz="4"/>
                    <w:right w:val="single" w:color="000000" w:sz="4"/>
                  </w:tcBorders>
                </w:tcPr>
                <w:p/>
              </w:tc>
              <w:tc>
                <w:tcPr>
                  <w:tcW w:type="dxa" w:w="371"/>
                  <w:vMerge/>
                  <w:tcBorders>
                    <w:top w:val="none" w:color="000000" w:sz="4"/>
                    <w:left w:val="none" w:color="000000" w:sz="4"/>
                    <w:bottom w:val="single" w:color="000000" w:sz="4"/>
                    <w:right w:val="single" w:color="000000" w:sz="4"/>
                  </w:tcBorders>
                </w:tcP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运动员热身区</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含场地布置</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片</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52"/>
                  <w:gridSpan w:val="8"/>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所有制作、宣传需经采购人审核同意后方可发布，赛事所有原始资料报采购人留存。</w:t>
                  </w:r>
                </w:p>
              </w:tc>
            </w:tr>
            <w:tr>
              <w:tc>
                <w:tcPr>
                  <w:tcW w:type="dxa" w:w="2552"/>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供应商除报名资审事宜以外事项，均需做好相应服务保障，场地设施布置、器材准备、电计设备、物料及宣传类制作、劳务发放、用餐安排、会议组织（含会场布置、参赛相关物资分类发放）、安全报备、市场运营、医疗救护、媒体报道宣传制作等。</w:t>
                  </w:r>
                </w:p>
              </w:tc>
            </w:tr>
            <w:tr>
              <w:tc>
                <w:tcPr>
                  <w:tcW w:type="dxa" w:w="2552"/>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比赛为西安市青少年网球锦标赛，暂定时间：</w:t>
                  </w:r>
                  <w:r>
                    <w:rPr>
                      <w:rFonts w:ascii="仿宋_GB2312" w:hAnsi="仿宋_GB2312" w:cs="仿宋_GB2312" w:eastAsia="仿宋_GB2312"/>
                      <w:sz w:val="24"/>
                      <w:color w:val="000000"/>
                    </w:rPr>
                    <w:t>2026年4月30日--2026年5月4日（最终时间以采购人通知为准），共5天，大约300人，以实际报名为准。</w:t>
                  </w:r>
                </w:p>
              </w:tc>
            </w:tr>
          </w:tbl>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319"/>
              <w:gridCol w:w="319"/>
              <w:gridCol w:w="319"/>
              <w:gridCol w:w="319"/>
              <w:gridCol w:w="319"/>
              <w:gridCol w:w="319"/>
              <w:gridCol w:w="319"/>
              <w:gridCol w:w="319"/>
            </w:tblGrid>
            <w:tr>
              <w:tc>
                <w:tcPr>
                  <w:tcW w:type="dxa" w:w="2552"/>
                  <w:gridSpan w:val="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2026年西安市青少年网球公开赛</w:t>
                  </w:r>
                </w:p>
              </w:tc>
            </w:tr>
            <w:tr>
              <w:tc>
                <w:tcPr>
                  <w:tcW w:type="dxa" w:w="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3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项目</w:t>
                  </w:r>
                </w:p>
              </w:tc>
              <w:tc>
                <w:tcPr>
                  <w:tcW w:type="dxa" w:w="3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内容</w:t>
                  </w:r>
                </w:p>
              </w:tc>
              <w:tc>
                <w:tcPr>
                  <w:tcW w:type="dxa" w:w="3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要求</w:t>
                  </w:r>
                </w:p>
              </w:tc>
              <w:tc>
                <w:tcPr>
                  <w:tcW w:type="dxa" w:w="3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c>
                <w:tcPr>
                  <w:tcW w:type="dxa" w:w="3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3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比赛天数系数（一次性必需品记为</w:t>
                  </w:r>
                  <w:r>
                    <w:rPr>
                      <w:rFonts w:ascii="仿宋_GB2312" w:hAnsi="仿宋_GB2312" w:cs="仿宋_GB2312" w:eastAsia="仿宋_GB2312"/>
                      <w:sz w:val="24"/>
                      <w:color w:val="000000"/>
                    </w:rPr>
                    <w:t>1）</w:t>
                  </w:r>
                </w:p>
              </w:tc>
              <w:tc>
                <w:tcPr>
                  <w:tcW w:type="dxa" w:w="3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r>
            <w:tr>
              <w:tc>
                <w:tcPr>
                  <w:tcW w:type="dxa" w:w="3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赛前准备</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秩序册</w:t>
                  </w:r>
                </w:p>
              </w:tc>
              <w:tc>
                <w:tcPr>
                  <w:tcW w:type="dxa" w:w="3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秩序册、成绩册、分秩序册的封皮</w:t>
                  </w:r>
                  <w:r>
                    <w:rPr>
                      <w:rFonts w:ascii="仿宋_GB2312" w:hAnsi="仿宋_GB2312" w:cs="仿宋_GB2312" w:eastAsia="仿宋_GB2312"/>
                      <w:sz w:val="24"/>
                      <w:color w:val="000000"/>
                    </w:rPr>
                    <w:t>、底页及相关部分需铜版纸、彩页</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册</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9"/>
                  <w:vMerge/>
                  <w:tcBorders>
                    <w:top w:val="none" w:color="000000" w:sz="4"/>
                    <w:left w:val="singl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成绩册</w:t>
                  </w:r>
                </w:p>
              </w:tc>
              <w:tc>
                <w:tcPr>
                  <w:tcW w:type="dxa" w:w="319"/>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册</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氛围布置</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赛事主形象</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喷绘等</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9"/>
                  <w:vMerge/>
                  <w:tcBorders>
                    <w:top w:val="none" w:color="000000" w:sz="4"/>
                    <w:left w:val="singl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音响设备</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9"/>
                  <w:vMerge/>
                  <w:tcBorders>
                    <w:top w:val="none" w:color="000000" w:sz="4"/>
                    <w:left w:val="singl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场地</w:t>
                  </w:r>
                  <w:r>
                    <w:rPr>
                      <w:rFonts w:ascii="仿宋_GB2312" w:hAnsi="仿宋_GB2312" w:cs="仿宋_GB2312" w:eastAsia="仿宋_GB2312"/>
                      <w:sz w:val="24"/>
                      <w:color w:val="000000"/>
                    </w:rPr>
                    <w:t>A板</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环保</w:t>
                  </w:r>
                  <w:r>
                    <w:rPr>
                      <w:rFonts w:ascii="仿宋_GB2312" w:hAnsi="仿宋_GB2312" w:cs="仿宋_GB2312" w:eastAsia="仿宋_GB2312"/>
                      <w:sz w:val="24"/>
                      <w:color w:val="000000"/>
                    </w:rPr>
                    <w:t>A架</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2m</w:t>
                  </w:r>
                </w:p>
              </w:tc>
            </w:tr>
            <w:tr>
              <w:tc>
                <w:tcPr>
                  <w:tcW w:type="dxa" w:w="3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通用器材</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成绩公告展示</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喷绘</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9"/>
                  <w:vMerge/>
                  <w:tcBorders>
                    <w:top w:val="none" w:color="000000" w:sz="4"/>
                    <w:left w:val="singl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比赛用水</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500ml</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9"/>
                  <w:vMerge/>
                  <w:tcBorders>
                    <w:top w:val="none" w:color="000000" w:sz="4"/>
                    <w:left w:val="singl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颁奖台</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竞赛专用及辅助器材</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夹板</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裁判执裁</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9"/>
                  <w:vMerge/>
                  <w:tcBorders>
                    <w:top w:val="none" w:color="000000" w:sz="4"/>
                    <w:left w:val="singl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笔</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按竞赛要求配备</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9"/>
                  <w:vMerge/>
                  <w:tcBorders>
                    <w:top w:val="none" w:color="000000" w:sz="4"/>
                    <w:left w:val="singl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打印纸</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85gA4打印纸</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9"/>
                  <w:vMerge/>
                  <w:tcBorders>
                    <w:top w:val="none" w:color="000000" w:sz="4"/>
                    <w:left w:val="singl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比赛用球</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2箱</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9"/>
                  <w:vMerge/>
                  <w:tcBorders>
                    <w:top w:val="none" w:color="000000" w:sz="4"/>
                    <w:left w:val="singl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参赛证</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运动员、裁判等，约</w:t>
                  </w:r>
                  <w:r>
                    <w:rPr>
                      <w:rFonts w:ascii="仿宋_GB2312" w:hAnsi="仿宋_GB2312" w:cs="仿宋_GB2312" w:eastAsia="仿宋_GB2312"/>
                      <w:sz w:val="24"/>
                      <w:color w:val="000000"/>
                    </w:rPr>
                    <w:t>300个，以具体实际数量为准</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人员配置</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裁判组</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不少于</w:t>
                  </w:r>
                  <w:r>
                    <w:rPr>
                      <w:rFonts w:ascii="仿宋_GB2312" w:hAnsi="仿宋_GB2312" w:cs="仿宋_GB2312" w:eastAsia="仿宋_GB2312"/>
                      <w:sz w:val="24"/>
                      <w:color w:val="000000"/>
                    </w:rPr>
                    <w:t>35人，根据竞赛日程天数+报到赛前培训联调1天+赛后收纳器材及总结1天进行核算</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9"/>
                  <w:vMerge/>
                  <w:tcBorders>
                    <w:top w:val="none" w:color="000000" w:sz="4"/>
                    <w:left w:val="singl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工作人员</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根据竞赛日程天数</w:t>
                  </w:r>
                  <w:r>
                    <w:rPr>
                      <w:rFonts w:ascii="仿宋_GB2312" w:hAnsi="仿宋_GB2312" w:cs="仿宋_GB2312" w:eastAsia="仿宋_GB2312"/>
                      <w:sz w:val="24"/>
                      <w:color w:val="000000"/>
                    </w:rPr>
                    <w:t>+报到赛前培训联调2天+赛后收纳器材及总结1天进行核算</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9"/>
                  <w:vMerge/>
                  <w:tcBorders>
                    <w:top w:val="none" w:color="000000" w:sz="4"/>
                    <w:left w:val="singl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医疗救护车</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救护车须配备司机、医生、护士各</w:t>
                  </w:r>
                  <w:r>
                    <w:rPr>
                      <w:rFonts w:ascii="仿宋_GB2312" w:hAnsi="仿宋_GB2312" w:cs="仿宋_GB2312" w:eastAsia="仿宋_GB2312"/>
                      <w:sz w:val="24"/>
                      <w:color w:val="000000"/>
                    </w:rPr>
                    <w:t>1名</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辆</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保险</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涉赛人员保险</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4"/>
                      <w:color w:val="000000"/>
                    </w:rPr>
                    <w:t>50人，所有涉赛人员（运动员、裁判、工作人员）均须购买保险，以实际情况为准</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用餐</w:t>
                  </w:r>
                </w:p>
              </w:tc>
              <w:tc>
                <w:tcPr>
                  <w:tcW w:type="dxa" w:w="3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工作人员</w:t>
                  </w:r>
                </w:p>
              </w:tc>
              <w:tc>
                <w:tcPr>
                  <w:tcW w:type="dxa" w:w="3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4"/>
                      <w:color w:val="000000"/>
                    </w:rPr>
                    <w:t>10人，实际以具体实际数量为准。工作人员午餐，按实际竞赛日程+联调1天</w:t>
                  </w:r>
                </w:p>
              </w:tc>
              <w:tc>
                <w:tcPr>
                  <w:tcW w:type="dxa" w:w="3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w:t>
                  </w:r>
                </w:p>
              </w:tc>
              <w:tc>
                <w:tcPr>
                  <w:tcW w:type="dxa" w:w="3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9"/>
                  <w:vMerge/>
                  <w:tcBorders>
                    <w:top w:val="none" w:color="000000" w:sz="4"/>
                    <w:left w:val="singl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会议室、功能房、运动员热身区</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技术会</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含多媒体及会场服务，容纳</w:t>
                  </w:r>
                  <w:r>
                    <w:rPr>
                      <w:rFonts w:ascii="仿宋_GB2312" w:hAnsi="仿宋_GB2312" w:cs="仿宋_GB2312" w:eastAsia="仿宋_GB2312"/>
                      <w:sz w:val="24"/>
                      <w:color w:val="000000"/>
                    </w:rPr>
                    <w:t>20人会议室，含多媒体，需提前布置好会场，桌签，桌标等；使用时间半天</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场</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9"/>
                  <w:vMerge/>
                  <w:tcBorders>
                    <w:top w:val="none" w:color="000000" w:sz="4"/>
                    <w:left w:val="singl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功能房</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按照采购人要求布置，竞赛秘书室、</w:t>
                  </w:r>
                  <w:r>
                    <w:rPr>
                      <w:rFonts w:ascii="仿宋_GB2312" w:hAnsi="仿宋_GB2312" w:cs="仿宋_GB2312" w:eastAsia="仿宋_GB2312"/>
                      <w:sz w:val="24"/>
                      <w:color w:val="000000"/>
                    </w:rPr>
                    <w:t>器材存放室裁判员休息室、工作人员</w:t>
                  </w:r>
                  <w:r>
                    <w:rPr>
                      <w:rFonts w:ascii="仿宋_GB2312" w:hAnsi="仿宋_GB2312" w:cs="仿宋_GB2312" w:eastAsia="仿宋_GB2312"/>
                      <w:sz w:val="24"/>
                      <w:color w:val="000000"/>
                    </w:rPr>
                    <w:t>休息室等、按照采购人要求布置；</w:t>
                  </w:r>
                  <w:r>
                    <w:rPr>
                      <w:rFonts w:ascii="仿宋_GB2312" w:hAnsi="仿宋_GB2312" w:cs="仿宋_GB2312" w:eastAsia="仿宋_GB2312"/>
                      <w:sz w:val="24"/>
                      <w:color w:val="000000"/>
                    </w:rPr>
                    <w:t>使用时限为赛事筹备起至赛事结束。</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间</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9"/>
                  <w:vMerge/>
                  <w:tcBorders>
                    <w:top w:val="none" w:color="000000" w:sz="4"/>
                    <w:left w:val="singl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运动员热身区</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含场地布置</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片</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52"/>
                  <w:gridSpan w:val="8"/>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所有制作、宣传需经采购人审核同意后方可发布，赛事所有原始资料报采购人留存。</w:t>
                  </w:r>
                </w:p>
              </w:tc>
            </w:tr>
            <w:tr>
              <w:tc>
                <w:tcPr>
                  <w:tcW w:type="dxa" w:w="2552"/>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供应商除报名资审事宜以外事项，均需做好相应服务保障，场地设施布置、器材准备、电计设备、物料及宣传类制作、劳务发放、用餐安排、会议组织（含会场布置、参赛相关物资分类发放）、安全报备、市场运营、医疗救护、媒体报道宣传制作等。</w:t>
                  </w:r>
                </w:p>
              </w:tc>
            </w:tr>
            <w:tr>
              <w:tc>
                <w:tcPr>
                  <w:tcW w:type="dxa" w:w="2552"/>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比赛为西安市青少年网球公开赛，暂定时间：</w:t>
                  </w:r>
                  <w:r>
                    <w:rPr>
                      <w:rFonts w:ascii="仿宋_GB2312" w:hAnsi="仿宋_GB2312" w:cs="仿宋_GB2312" w:eastAsia="仿宋_GB2312"/>
                      <w:sz w:val="24"/>
                      <w:color w:val="000000"/>
                    </w:rPr>
                    <w:t>11月6-10日，共5天，大约300人，以实际报名为准。</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供应商针对本项目提供相应的服务人员。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供应商针对本项目提供相应的服务人员。</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供应商针对本项目提供相应的服务人员。</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供应商针对本项目提供相应的服务人员。</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供应商针对本项目提供相应的服务人员。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供应商针对本项目提供相应的设备。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供应商针对本项目提供相应的设备。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供应商针对本项目提供相应的设备。</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供应商针对本项目提供相应的设备。</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供应商针对本项目提供相应的设备。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报价是项目验收合格后的最终报价。包含完成本项目所涉及人员劳务、设计、制作、策划执行、广告氛围设计、媒体宣传、运输、安装、验收、税金、设备投入、利润、招标代理服务费以及磋商文件规定的一切费用和本项目履约相关的不可预计的一切费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报价是项目验收合格后的最终报价。包含完成本项目所涉及人员劳务、设计、制作、策划执行、广告氛围设计、媒体宣传、运输、安装、验收、税金、设备投入、利润、招标代理服务费以及磋商文件规定的一切费用和本项目履约相关的不可预计的一切费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报价是项目验收合格后的最终报价。包含完成本项目所涉及人员劳务、设计、制作、策划执行、广告氛围设计、媒体宣传、运输、安装、验收、税金、设备投入、利润、招标代理服务费以及磋商文件规定的一切费用和本项目履约相关的不可预计的一切费用。</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供应商报价是项目验收合格后的最终报价。包含完成本项目所涉及人员劳务、设计、制作、策划执行、广告氛围设计、媒体宣传、运输、安装、验收、税金、设备投入、利润、招标代理服务费以及磋商文件规定的一切费用和本项目履约相关的不可预计的一切费用。</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供应商报价是项目验收合格后的最终报价。包含完成本项目所涉及人员劳务、设计、制作、策划执行、广告氛围设计、媒体宣传、运输、安装、验收、税金、设备投入、利润、招标代理服务费以及磋商文件规定的一切费用和本项目履约相关的不可预计的一切费用。</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按照赛事赛程安排，赛事举办前2天完成赛场布置，直至比赛结束为止。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按照赛事赛程安排，赛事举办前2天完成赛场布置，直至比赛结束为止。</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按照赛事赛程安排，赛事举办前2天完成赛场布置，直至比赛结束为止。</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按照赛事赛程安排，赛事举办前2天完成赛场布置，直至两次比赛结束为止。</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按照赛事赛程安排，赛事举办前2天完成赛场布置，直至两次比赛结束为止。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组织，按照关于印发《政府采购需求管理办法》的通知（财库〔2021〕22号）和《财政部关于进一步加强政府采购需求和履约验收管理的指导意见》(财库〔2016〕205号)的要求以及采购文件、供应商的响应文件、采购合同的约定和现行国家标准、行业标准以及企业标准对每一项技术、服务、安全标准的履约情况进行确认。以满足采购人的实际需求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由采购人组织，按照关于印发《政府采购需求管理办法》的通知（财库〔2021〕22号）和《财政部关于进一步加强政府采购需求和履约验收管理的指导意见》(财库〔2016〕205号)的要求以及采购文件、供应商的响应文件、采购合同的约定和现行国家标准、行业标准以及企业标准对每一项技术、服务、安全标准的履约情况进行确认。以满足采购人的实际需求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由采购人组织，按照关于印发《政府采购需求管理办法》的通知（财库〔2021〕22号）和《财政部关于进一步加强政府采购需求和履约验收管理的指导意见》(财库〔2016〕205号)的要求以及采购文件、供应商的响应文件、采购合同的约定和现行国家标准、行业标准以及企业标准对每一项技术、服务、安全标准的履约情况进行确认。以满足采购人的实际需求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由采购人组织，按照关于印发《政府采购需求管理办法》的通知（财库〔2021〕22号）和《财政部关于进一步加强政府采购需求和履约验收管理的指导意见》(财库〔2016〕205号)的要求以及采购文件、供应商的响应文件、采购合同的约定和现行国家标准、行业标准以及企业标准对每一项技术、服务、安全标准的履约情况进行确认。以满足采购人的实际需求为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由采购人组织，按照关于印发《政府采购需求管理办法》的通知（财库〔2021〕22号）和《财政部关于进一步加强政府采购需求和履约验收管理的指导意见》(财库〔2016〕205号)的要求以及采购文件、供应商的响应文件、采购合同的约定和现行国家标准、行业标准以及企业标准对每一项技术、服务、安全标准的履约情况进行确认。以满足采购人的实际需求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比赛结束，验收完成后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比赛结束，验收完成后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比赛结束，验收完成后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比赛结束，验收完成后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比赛结束，验收完成后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1.按《中华人民共和国政府采购法》、《中华人民共和国民法典》中的相关条款执行。 2.未按合同或磋商文件要求提供服务或服务质量不能满足采购人技术要求，采购人有权终止合同，甚至对供应商违约行为进行追究。 3.供应商的响应文件为签订正式书面合同书不可分割的部分，供应商应履行相应的责任。</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1.按《中华人民共和国政府采购法》、《中华人民共和国民法典》中的相关条款执行。 2.未按合同或磋商文件要求提供服务或服务质量不能满足采购人技术要求，采购人有权终止合同，甚至对供应商违约行为进行追究。 3.供应商的响应文件为签订正式书面合同书不可分割的部分，供应商应履行相应的责任。</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1.按《中华人民共和国政府采购法》、《中华人民共和国民法典》中的相关条款执行。 2.未按合同或磋商文件要求提供服务或服务质量不能满足采购人技术要求，采购人有权终止合同，甚至对供应商违约行为进行追究。 3.供应商的响应文件为签订正式书面合同书不可分割的部分，供应商应履行相应的责任。</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1.按《中华人民共和国政府采购法》、《中华人民共和国民法典》中的相关条款执行。 2.未按合同或磋商文件要求提供服务或服务质量不能满足采购人技术要求，采购人有权终止合同，甚至对供应商违约行为进行追究。 3.供应商的响应文件为签订正式书面合同书不可分割的部分，供应商应履行相应的责任。</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1.按《中华人民共和国政府采购法》、《中华人民共和国民法典》中的相关条款执行。 2.未按合同或磋商文件要求提供服务或服务质量不能满足采购人技术要求，采购人有权终止合同，甚至对供应商违约行为进行追究。 3.供应商的响应文件为签订正式书面合同书不可分割的部分，供应商应履行相应的责任。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成交供应商在领取成交通知书时提供一正一副纸质投标文件和电子版投标文件1份（U盘存储）用于备案,提交至西安市雁塔区二环南路西段88号老三届世纪星大厦30层AB座（陕西明正招标有限公司）。 注：中标后提交的纸质文件（备案用）应当从专用制作软件中直接打印，与电子投标文件保持一致，不允许补充和修改。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供应商应具有独立承担民事责任的能力的企业法人、事业法人、其他组织或自然人，出具合法有效的营业执照等相关证明文件，自然人参与的提供其身份证明（加盖公章）； （2）财务状况报告：提供经审计的2024或2025年度财务报告或磋商前六个月内其本公司银行账户出具的资信证明或政府采购专业担保机构出具的磋商担保函（事业单位可不提供）（加盖公章）； （3）税收缴纳证明：供应商提供截止至磋商时间前六个月任一月份的缴费凭据；依法免税的应提供相关文件证明（加盖公章）； （4）社会保障资金缴纳证明：供应商提供截止至磋商时间前六个月任一月份的缴费凭据或社保机构开具的社会保险参保缴费情况证明；依法不需要缴纳社会保障资金的应提供相关文件证明（加盖公章）； （5）供应商提供具有履行本合同所必需的设备和专业技术能力的承诺函（加盖公章）； （6）供应商提供参加政府采购活动前三年内在经营活动中没有重大违法记录的承诺函（加盖公章）；</w:t>
            </w:r>
          </w:p>
        </w:tc>
        <w:tc>
          <w:tcPr>
            <w:tcW w:type="dxa" w:w="1661"/>
          </w:tcPr>
          <w:p>
            <w:pPr>
              <w:pStyle w:val="null3"/>
            </w:pPr>
            <w:r>
              <w:rPr>
                <w:rFonts w:ascii="仿宋_GB2312" w:hAnsi="仿宋_GB2312" w:cs="仿宋_GB2312" w:eastAsia="仿宋_GB2312"/>
              </w:rPr>
              <w:t>一般资格要求.docx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提供经审计的2024或2025年度财务报告或磋商前六个月内其本公司银行账户出具的资信证明或政府采购专业担保机构出具的磋商担保函（事业单位可不提供）（加盖公章）。</w:t>
            </w:r>
          </w:p>
        </w:tc>
        <w:tc>
          <w:tcPr>
            <w:tcW w:type="dxa" w:w="1661"/>
          </w:tcPr>
          <w:p>
            <w:pPr>
              <w:pStyle w:val="null3"/>
            </w:pPr>
            <w:r>
              <w:rPr>
                <w:rFonts w:ascii="仿宋_GB2312" w:hAnsi="仿宋_GB2312" w:cs="仿宋_GB2312" w:eastAsia="仿宋_GB2312"/>
              </w:rPr>
              <w:t>一般资格要求.docx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供应商应具有独立承担民事责任的能力的企业法人、事业法人、其他组织或自然人，出具合法有效的营业执照等相关证明文件，自然人参与的提供其身份证明（加盖公章）； （2）财务状况报告：提供经审计的2024或2025年度财务报告或磋商前六个月内其本公司银行账户出具的资信证明或政府采购专业担保机构出具的磋商担保函（事业单位可不提供）（加盖公章）； （3）税收缴纳证明：供应商提供截止至磋商时间前六个月任一月份的缴费凭据；依法免税的应提供相关文件证明（加盖公章）； （4）社会保障资金缴纳证明：供应商提供截止至磋商时间前六个月任一月份的缴费凭据或社保机构开具的社会保险参保缴费情况证明；依法不需要缴纳社会保障资金的应提供相关文件证明（加盖公章）； （5）供应商提供具有履行本合同所必需的设备和专业技术能力的承诺函（加盖公章）； （6）供应商提供参加政府采购活动前三年内在经营活动中没有重大违法记录的承诺函（加盖公章）；</w:t>
            </w:r>
          </w:p>
        </w:tc>
        <w:tc>
          <w:tcPr>
            <w:tcW w:type="dxa" w:w="1661"/>
          </w:tcPr>
          <w:p>
            <w:pPr>
              <w:pStyle w:val="null3"/>
            </w:pPr>
            <w:r>
              <w:rPr>
                <w:rFonts w:ascii="仿宋_GB2312" w:hAnsi="仿宋_GB2312" w:cs="仿宋_GB2312" w:eastAsia="仿宋_GB2312"/>
              </w:rPr>
              <w:t>一般资格要求.docx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提供经审计的2024或2025年度财务报告或磋商前六个月内其本公司银行账户出具的资信证明或政府采购专业担保机构出具的磋商担保函（事业单位可不提供）（加盖公章）。</w:t>
            </w:r>
          </w:p>
        </w:tc>
        <w:tc>
          <w:tcPr>
            <w:tcW w:type="dxa" w:w="1661"/>
          </w:tcPr>
          <w:p>
            <w:pPr>
              <w:pStyle w:val="null3"/>
            </w:pPr>
            <w:r>
              <w:rPr>
                <w:rFonts w:ascii="仿宋_GB2312" w:hAnsi="仿宋_GB2312" w:cs="仿宋_GB2312" w:eastAsia="仿宋_GB2312"/>
              </w:rPr>
              <w:t>一般资格要求.docx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供应商应具有独立承担民事责任的能力的企业法人、事业法人、其他组织或自然人，出具合法有效的营业执照等相关证明文件，自然人参与的提供其身份证明（加盖公章）； （2）财务状况报告：提供经审计的2024或2025年度财务报告或磋商前六个月内其本公司银行账户出具的资信证明或政府采购专业担保机构出具的磋商担保函（事业单位可不提供）（加盖公章）； （3）税收缴纳证明：供应商提供截止至磋商时间前六个月任一月份的缴费凭据；依法免税的应提供相关文件证明（加盖公章）； （4）社会保障资金缴纳证明：供应商提供截止至磋商时间前六个月任一月份的缴费凭据或社保机构开具的社会保险参保缴费情况证明；依法不需要缴纳社会保障资金的应提供相关文件证明（加盖公章）； （5）供应商提供具有履行本合同所必需的设备和专业技术能力的承诺函（加盖公章）； （6）供应商提供参加政府采购活动前三年内在经营活动中没有重大违法记录的承诺函（加盖公章）；</w:t>
            </w:r>
          </w:p>
        </w:tc>
        <w:tc>
          <w:tcPr>
            <w:tcW w:type="dxa" w:w="1661"/>
          </w:tcPr>
          <w:p>
            <w:pPr>
              <w:pStyle w:val="null3"/>
            </w:pPr>
            <w:r>
              <w:rPr>
                <w:rFonts w:ascii="仿宋_GB2312" w:hAnsi="仿宋_GB2312" w:cs="仿宋_GB2312" w:eastAsia="仿宋_GB2312"/>
              </w:rPr>
              <w:t>一般资格要求.docx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提供经审计的2024或2025年度财务报告或磋商前六个月内其本公司银行账户出具的资信证明或政府采购专业担保机构出具的磋商担保函（事业单位可不提供）（加盖公章）。</w:t>
            </w:r>
          </w:p>
        </w:tc>
        <w:tc>
          <w:tcPr>
            <w:tcW w:type="dxa" w:w="1661"/>
          </w:tcPr>
          <w:p>
            <w:pPr>
              <w:pStyle w:val="null3"/>
            </w:pPr>
            <w:r>
              <w:rPr>
                <w:rFonts w:ascii="仿宋_GB2312" w:hAnsi="仿宋_GB2312" w:cs="仿宋_GB2312" w:eastAsia="仿宋_GB2312"/>
              </w:rPr>
              <w:t>一般资格要求.docx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供应商应具有独立承担民事责任的能力的企业法人、事业法人、其他组织或自然人，出具合法有效的营业执照等相关证明文件，自然人参与的提供其身份证明（加盖公章）； （2）财务状况报告：提供经审计的2024或2025年度财务报告或磋商前六个月内其本公司银行账户出具的资信证明或政府采购专业担保机构出具的磋商担保函（事业单位可不提供）（加盖公章）； （3）税收缴纳证明：供应商提供截止至磋商时间前六个月任一月份的缴费凭据；依法免税的应提供相关文件证明（加盖公章）； （4）社会保障资金缴纳证明：供应商提供截止至磋商时间前六个月任一月份的缴费凭据或社保机构开具的社会保险参保缴费情况证明；依法不需要缴纳社会保障资金的应提供相关文件证明（加盖公章）； （5）供应商提供具有履行本合同所必需的设备和专业技术能力的承诺函（加盖公章）； （6）供应商提供参加政府采购活动前三年内在经营活动中没有重大违法记录的承诺函（加盖公章）；</w:t>
            </w:r>
          </w:p>
        </w:tc>
        <w:tc>
          <w:tcPr>
            <w:tcW w:type="dxa" w:w="1661"/>
          </w:tcPr>
          <w:p>
            <w:pPr>
              <w:pStyle w:val="null3"/>
            </w:pPr>
            <w:r>
              <w:rPr>
                <w:rFonts w:ascii="仿宋_GB2312" w:hAnsi="仿宋_GB2312" w:cs="仿宋_GB2312" w:eastAsia="仿宋_GB2312"/>
              </w:rPr>
              <w:t>一般资格要求.docx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提供经审计的2024或2025年度财务报告或磋商前六个月内其本公司银行账户出具的资信证明或政府采购专业担保机构出具的磋商担保函（事业单位可不提供）（加盖公章）。</w:t>
            </w:r>
          </w:p>
        </w:tc>
        <w:tc>
          <w:tcPr>
            <w:tcW w:type="dxa" w:w="1661"/>
          </w:tcPr>
          <w:p>
            <w:pPr>
              <w:pStyle w:val="null3"/>
            </w:pPr>
            <w:r>
              <w:rPr>
                <w:rFonts w:ascii="仿宋_GB2312" w:hAnsi="仿宋_GB2312" w:cs="仿宋_GB2312" w:eastAsia="仿宋_GB2312"/>
              </w:rPr>
              <w:t>一般资格要求.docx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供应商应具有独立承担民事责任的能力的企业法人、事业法人、其他组织或自然人，出具合法有效的营业执照等相关证明文件，自然人参与的提供其身份证明（加盖公章）； （2）财务状况报告：提供经审计的2024或2025年度财务报告或磋商前六个月内其本公司银行账户出具的资信证明或政府采购专业担保机构出具的磋商担保函（事业单位可不提供）（加盖公章）； （3）税收缴纳证明：供应商提供截止至磋商时间前六个月任一月份的缴费凭据；依法免税的应提供相关文件证明（加盖公章）； （4）社会保障资金缴纳证明：供应商提供截止至磋商时间前六个月任一月份的缴费凭据或社保机构开具的社会保险参保缴费情况证明；依法不需要缴纳社会保障资金的应提供相关文件证明（加盖公章）； （5）供应商提供具有履行本合同所必需的设备和专业技术能力的承诺函（加盖公章）； （6）供应商提供参加政府采购活动前三年内在经营活动中没有重大违法记录的承诺函（加盖公章）；</w:t>
            </w:r>
          </w:p>
        </w:tc>
        <w:tc>
          <w:tcPr>
            <w:tcW w:type="dxa" w:w="1661"/>
          </w:tcPr>
          <w:p>
            <w:pPr>
              <w:pStyle w:val="null3"/>
            </w:pPr>
            <w:r>
              <w:rPr>
                <w:rFonts w:ascii="仿宋_GB2312" w:hAnsi="仿宋_GB2312" w:cs="仿宋_GB2312" w:eastAsia="仿宋_GB2312"/>
              </w:rPr>
              <w:t>一般资格要求.docx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提供经审计的2024或2025年度财务报告或磋商前六个月内其本公司银行账户出具的资信证明或政府采购专业担保机构出具的磋商担保函（事业单位可不提供）（加盖公章）。</w:t>
            </w:r>
          </w:p>
        </w:tc>
        <w:tc>
          <w:tcPr>
            <w:tcW w:type="dxa" w:w="1661"/>
          </w:tcPr>
          <w:p>
            <w:pPr>
              <w:pStyle w:val="null3"/>
            </w:pPr>
            <w:r>
              <w:rPr>
                <w:rFonts w:ascii="仿宋_GB2312" w:hAnsi="仿宋_GB2312" w:cs="仿宋_GB2312" w:eastAsia="仿宋_GB2312"/>
              </w:rPr>
              <w:t>一般资格要求.docx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及法人身份证；法定代表人授权代表参加磋商的，须出具法定代表人授权书及法人和授权代表身份证，并提供磋商前三个月内任意一个月授权代表在本单位的社保缴纳证明；</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符合《财政部关于在政府采购活动中查询及使用信用记录有关问题的通知》（财库【2016】125号）文件中信用查询的要求</w:t>
            </w:r>
          </w:p>
        </w:tc>
        <w:tc>
          <w:tcPr>
            <w:tcW w:type="dxa" w:w="3322"/>
          </w:tcPr>
          <w:p>
            <w:pPr>
              <w:pStyle w:val="null3"/>
            </w:pPr>
            <w:r>
              <w:rPr>
                <w:rFonts w:ascii="仿宋_GB2312" w:hAnsi="仿宋_GB2312" w:cs="仿宋_GB2312" w:eastAsia="仿宋_GB2312"/>
              </w:rPr>
              <w:t>不得为“信用中国”网站（www.creditchina.gov.cn）中列入失信被执行人和重大税收违法失信主体的供应商，不得为中国政府采购网（www.ccgp.gov.cn）政府采购严重违法失信行为记录名单中被财政部门禁止参加政府采购活动的供应商，以磋商后的网站查询记录为准。</w:t>
            </w:r>
          </w:p>
        </w:tc>
        <w:tc>
          <w:tcPr>
            <w:tcW w:type="dxa" w:w="1661"/>
          </w:tcPr>
          <w:p>
            <w:pPr>
              <w:pStyle w:val="null3"/>
            </w:pPr>
            <w:r>
              <w:rPr>
                <w:rFonts w:ascii="仿宋_GB2312" w:hAnsi="仿宋_GB2312" w:cs="仿宋_GB2312" w:eastAsia="仿宋_GB2312"/>
              </w:rPr>
              <w:t>特殊资格要求.docx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及法人身份证；法定代表人授权代表参加磋商的，须出具法定代表人授权书及法人和授权代表身份证，并提供磋商前三个月内任意一个月授权代表在本单位的社保缴纳证明；</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符合《财政部关于在政府采购活动中查询及使用信用记录有关问题的通知》（财库【2016】125号）文件中信用查询的要求</w:t>
            </w:r>
          </w:p>
        </w:tc>
        <w:tc>
          <w:tcPr>
            <w:tcW w:type="dxa" w:w="3322"/>
          </w:tcPr>
          <w:p>
            <w:pPr>
              <w:pStyle w:val="null3"/>
            </w:pPr>
            <w:r>
              <w:rPr>
                <w:rFonts w:ascii="仿宋_GB2312" w:hAnsi="仿宋_GB2312" w:cs="仿宋_GB2312" w:eastAsia="仿宋_GB2312"/>
              </w:rPr>
              <w:t>不得为“信用中国”网站（www.creditchina.gov.cn）中列入失信被执行人和重大税收违法失信主体的供应商，不得为中国政府采购网（www.ccgp.gov.cn）政府采购严重违法失信行为记录名单中被财政部门禁止参加政府采购活动的供应商，以磋商后的网站查询记录为准。</w:t>
            </w:r>
          </w:p>
        </w:tc>
        <w:tc>
          <w:tcPr>
            <w:tcW w:type="dxa" w:w="1661"/>
          </w:tcPr>
          <w:p>
            <w:pPr>
              <w:pStyle w:val="null3"/>
            </w:pPr>
            <w:r>
              <w:rPr>
                <w:rFonts w:ascii="仿宋_GB2312" w:hAnsi="仿宋_GB2312" w:cs="仿宋_GB2312" w:eastAsia="仿宋_GB2312"/>
              </w:rPr>
              <w:t>特殊资格要求.docx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及法人身份证；法定代表人授权代表参加磋商的，须出具法定代表人授权书及法人和授权代表身份证，并提供磋商前三个月内任意一个月授权代表在本单位的社保缴纳证明；</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符合《财政部关于在政府采购活动中查询及使用信用记录有关问题的通知》（财库【2016】125号）文件中信用查询的要求</w:t>
            </w:r>
          </w:p>
        </w:tc>
        <w:tc>
          <w:tcPr>
            <w:tcW w:type="dxa" w:w="3322"/>
          </w:tcPr>
          <w:p>
            <w:pPr>
              <w:pStyle w:val="null3"/>
            </w:pPr>
            <w:r>
              <w:rPr>
                <w:rFonts w:ascii="仿宋_GB2312" w:hAnsi="仿宋_GB2312" w:cs="仿宋_GB2312" w:eastAsia="仿宋_GB2312"/>
              </w:rPr>
              <w:t>不得为“信用中国”网站（www.creditchina.gov.cn）中列入失信被执行人和重大税收违法失信主体的供应商，不得为中国政府采购网（www.ccgp.gov.cn）政府采购严重违法失信行为记录名单中被财政部门禁止参加政府采购活动的供应商，以磋商后的网站查询记录为准。</w:t>
            </w:r>
          </w:p>
        </w:tc>
        <w:tc>
          <w:tcPr>
            <w:tcW w:type="dxa" w:w="1661"/>
          </w:tcPr>
          <w:p>
            <w:pPr>
              <w:pStyle w:val="null3"/>
            </w:pPr>
            <w:r>
              <w:rPr>
                <w:rFonts w:ascii="仿宋_GB2312" w:hAnsi="仿宋_GB2312" w:cs="仿宋_GB2312" w:eastAsia="仿宋_GB2312"/>
              </w:rPr>
              <w:t>特殊资格要求.docx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及法人身份证；法定代表人授权代表参加磋商的，须出具法定代表人授权书及法人和授权代表身份证，并提供磋商前三个月内任意一个月授权代表在本单位的社保缴纳证明；</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符合《财政部关于在政府采购活动中查询及使用信用记录有关问题的通知》（财库【2016】125号）文件中信用查询的要求</w:t>
            </w:r>
          </w:p>
        </w:tc>
        <w:tc>
          <w:tcPr>
            <w:tcW w:type="dxa" w:w="3322"/>
          </w:tcPr>
          <w:p>
            <w:pPr>
              <w:pStyle w:val="null3"/>
            </w:pPr>
            <w:r>
              <w:rPr>
                <w:rFonts w:ascii="仿宋_GB2312" w:hAnsi="仿宋_GB2312" w:cs="仿宋_GB2312" w:eastAsia="仿宋_GB2312"/>
              </w:rPr>
              <w:t>不得为“信用中国”网站（www.creditchina.gov.cn）中列入失信被执行人和重大税收违法失信主体的供应商，不得为中国政府采购网（www.ccgp.gov.cn）政府采购严重违法失信行为记录名单中被财政部门禁止参加政府采购活动的供应商，以磋商后的网站查询记录为准。</w:t>
            </w:r>
          </w:p>
        </w:tc>
        <w:tc>
          <w:tcPr>
            <w:tcW w:type="dxa" w:w="1661"/>
          </w:tcPr>
          <w:p>
            <w:pPr>
              <w:pStyle w:val="null3"/>
            </w:pPr>
            <w:r>
              <w:rPr>
                <w:rFonts w:ascii="仿宋_GB2312" w:hAnsi="仿宋_GB2312" w:cs="仿宋_GB2312" w:eastAsia="仿宋_GB2312"/>
              </w:rPr>
              <w:t>特殊资格要求.docx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及法人身份证；法定代表人授权代表参加磋商的，须出具法定代表人授权书及法人和授权代表身份证，并提供磋商前三个月内任意一个月授权代表在本单位的社保缴纳证明；</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符合《财政部关于在政府采购活动中查询及使用信用记录有关问题的通知》（财库【2016】125号）文件中信用查询的要求</w:t>
            </w:r>
          </w:p>
        </w:tc>
        <w:tc>
          <w:tcPr>
            <w:tcW w:type="dxa" w:w="3322"/>
          </w:tcPr>
          <w:p>
            <w:pPr>
              <w:pStyle w:val="null3"/>
            </w:pPr>
            <w:r>
              <w:rPr>
                <w:rFonts w:ascii="仿宋_GB2312" w:hAnsi="仿宋_GB2312" w:cs="仿宋_GB2312" w:eastAsia="仿宋_GB2312"/>
              </w:rPr>
              <w:t>不得为“信用中国”网站（www.creditchina.gov.cn）中列入失信被执行人和重大税收违法失信主体的供应商，不得为中国政府采购网（www.ccgp.gov.cn）政府采购严重违法失信行为记录名单中被财政部门禁止参加政府采购活动的供应商，以磋商后的网站查询记录为准。</w:t>
            </w:r>
          </w:p>
        </w:tc>
        <w:tc>
          <w:tcPr>
            <w:tcW w:type="dxa" w:w="1661"/>
          </w:tcPr>
          <w:p>
            <w:pPr>
              <w:pStyle w:val="null3"/>
            </w:pPr>
            <w:r>
              <w:rPr>
                <w:rFonts w:ascii="仿宋_GB2312" w:hAnsi="仿宋_GB2312" w:cs="仿宋_GB2312" w:eastAsia="仿宋_GB2312"/>
              </w:rPr>
              <w:t>特殊资格要求.docx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政府采购评审中出现下列情形之一的，评审委员会应当启动异常低价投标(响应)审查程序: （1）.投标(响应)报价低于全部通过符合性审查供应商投标(响应)报价平均值50%的，即投标(响应)报价＜全部通过符合性审查供应商投标(响应)报价平均值*50%; （2）.投标(响应)报价低于通过符合性审查的次低报价供应商投标(响应)报价50%的，即投标(响应)报价＜通过符合性审查的次低报价供应商投标(响应)报价*50%; （3）.投标(响应)报价低于采购项目最高限价45%的，即投标(响应)报价＜采购项目最高限价*45%; （4）.评审委员会基于专业判断，认为供应商报价过低，有可能影响产品质量或者不能诚信履约的其他情形。 评标委员会应当要求其在合理的时间内对投标（响应）价格做出解释，提供项目具体成本测算等与报价合理性相关的书面说明及必要的证明材料，包括但不限于原材料成本、人工成本、制造费用等，给予相关供应商的合理时间一般不少于30分钟。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分项报价表（1包）.docx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同时满足以下条款： （1）磋商报价符合唯一性要求；（2）报价未超出采购预算和最高限价</w:t>
            </w:r>
          </w:p>
        </w:tc>
        <w:tc>
          <w:tcPr>
            <w:tcW w:type="dxa" w:w="1661"/>
          </w:tcPr>
          <w:p>
            <w:pPr>
              <w:pStyle w:val="null3"/>
            </w:pPr>
            <w:r>
              <w:rPr>
                <w:rFonts w:ascii="仿宋_GB2312" w:hAnsi="仿宋_GB2312" w:cs="仿宋_GB2312" w:eastAsia="仿宋_GB2312"/>
              </w:rPr>
              <w:t>分项报价表（1包）.docx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满足商务条款及服务内容及服务要求条款</w:t>
            </w:r>
          </w:p>
        </w:tc>
        <w:tc>
          <w:tcPr>
            <w:tcW w:type="dxa" w:w="1661"/>
          </w:tcPr>
          <w:p>
            <w:pPr>
              <w:pStyle w:val="null3"/>
            </w:pPr>
            <w:r>
              <w:rPr>
                <w:rFonts w:ascii="仿宋_GB2312" w:hAnsi="仿宋_GB2312" w:cs="仿宋_GB2312" w:eastAsia="仿宋_GB2312"/>
              </w:rPr>
              <w:t>商务要求响应偏离表.docx 服务内容及要求响应偏离表.docx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磋商响应文件签署、盖章</w:t>
            </w:r>
          </w:p>
        </w:tc>
        <w:tc>
          <w:tcPr>
            <w:tcW w:type="dxa" w:w="3322"/>
          </w:tcPr>
          <w:p>
            <w:pPr>
              <w:pStyle w:val="null3"/>
            </w:pPr>
            <w:r>
              <w:rPr>
                <w:rFonts w:ascii="仿宋_GB2312" w:hAnsi="仿宋_GB2312" w:cs="仿宋_GB2312" w:eastAsia="仿宋_GB2312"/>
              </w:rPr>
              <w:t>磋商响应文件的签署、盖章合法、有效</w:t>
            </w:r>
          </w:p>
        </w:tc>
        <w:tc>
          <w:tcPr>
            <w:tcW w:type="dxa" w:w="1661"/>
          </w:tcPr>
          <w:p>
            <w:pPr>
              <w:pStyle w:val="null3"/>
            </w:pPr>
            <w:r>
              <w:rPr>
                <w:rFonts w:ascii="仿宋_GB2312" w:hAnsi="仿宋_GB2312" w:cs="仿宋_GB2312" w:eastAsia="仿宋_GB2312"/>
              </w:rPr>
              <w:t>磋商响应方案.docx 中小企业声明函 一般资格要求.docx 报价表 响应文件封面 特殊资格要求.docx 分项报价表（1包）.docx 残疾人福利性单位声明函 业绩证明材料.docx 标的清单 商务要求响应偏离表.docx 服务内容及要求响应偏离表.docx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磋商响应文件组成</w:t>
            </w:r>
          </w:p>
        </w:tc>
        <w:tc>
          <w:tcPr>
            <w:tcW w:type="dxa" w:w="3322"/>
          </w:tcPr>
          <w:p>
            <w:pPr>
              <w:pStyle w:val="null3"/>
            </w:pPr>
            <w:r>
              <w:rPr>
                <w:rFonts w:ascii="仿宋_GB2312" w:hAnsi="仿宋_GB2312" w:cs="仿宋_GB2312" w:eastAsia="仿宋_GB2312"/>
              </w:rPr>
              <w:t>未出现实质性内容的缺漏项</w:t>
            </w:r>
          </w:p>
        </w:tc>
        <w:tc>
          <w:tcPr>
            <w:tcW w:type="dxa" w:w="1661"/>
          </w:tcPr>
          <w:p>
            <w:pPr>
              <w:pStyle w:val="null3"/>
            </w:pPr>
            <w:r>
              <w:rPr>
                <w:rFonts w:ascii="仿宋_GB2312" w:hAnsi="仿宋_GB2312" w:cs="仿宋_GB2312" w:eastAsia="仿宋_GB2312"/>
              </w:rPr>
              <w:t>磋商响应方案.docx 中小企业声明函 一般资格要求.docx 报价表 响应文件封面 特殊资格要求.docx 分项报价表（1包）.docx 残疾人福利性单位声明函 业绩证明材料.docx 标的清单 商务要求响应偏离表.docx 服务内容及要求响应偏离表.docx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其他未达到磋商文件要求的情况</w:t>
            </w:r>
          </w:p>
        </w:tc>
        <w:tc>
          <w:tcPr>
            <w:tcW w:type="dxa" w:w="1661"/>
          </w:tcPr>
          <w:p>
            <w:pPr>
              <w:pStyle w:val="null3"/>
            </w:pPr>
            <w:r>
              <w:rPr>
                <w:rFonts w:ascii="仿宋_GB2312" w:hAnsi="仿宋_GB2312" w:cs="仿宋_GB2312" w:eastAsia="仿宋_GB2312"/>
              </w:rPr>
              <w:t>磋商响应方案.docx 中小企业声明函 一般资格要求.docx 报价表 响应文件封面 特殊资格要求.docx 分项报价表（1包）.docx 残疾人福利性单位声明函 业绩证明材料.docx 标的清单 商务要求响应偏离表.docx 服务内容及要求响应偏离表.docx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政府采购评审中出现下列情形之一的，评审委员会应当启动异常低价投标(响应)审查程序: （1）.投标(响应)报价低于全部通过符合性审查供应商投标(响应)报价平均值50%的，即投标(响应)报价＜全部通过符合性审查供应商投标(响应)报价平均值*50%; （2）.投标(响应)报价低于通过符合性审查的次低报价供应商投标(响应)报价50%的，即投标(响应)报价＜通过符合性审查的次低报价供应商投标(响应)报价*50%; （3）.投标(响应)报价低于采购项目最高限价45%的，即投标(响应)报价＜采购项目最高限价*45%; （4）.评审委员会基于专业判断，认为供应商报价过低，有可能影响产品质量或者不能诚信履约的其他情形。 评标委员会应当要求其在合理的时间内对投标（响应）价格做出解释，提供项目具体成本测算等与报价合理性相关的书面说明及必要的证明材料，包括但不限于原材料成本、人工成本、制造费用等，给予相关供应商的合理时间一般不少于30分钟。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分项报价表（2包）.docx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同时满足以下条款： （1）磋商报价符合唯一性要求；（2）报价未超出采购预算和最高限价</w:t>
            </w:r>
          </w:p>
        </w:tc>
        <w:tc>
          <w:tcPr>
            <w:tcW w:type="dxa" w:w="1661"/>
          </w:tcPr>
          <w:p>
            <w:pPr>
              <w:pStyle w:val="null3"/>
            </w:pPr>
            <w:r>
              <w:rPr>
                <w:rFonts w:ascii="仿宋_GB2312" w:hAnsi="仿宋_GB2312" w:cs="仿宋_GB2312" w:eastAsia="仿宋_GB2312"/>
              </w:rPr>
              <w:t>分项报价表（2包）.docx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满足商务条款及服务内容及服务要求条款</w:t>
            </w:r>
          </w:p>
        </w:tc>
        <w:tc>
          <w:tcPr>
            <w:tcW w:type="dxa" w:w="1661"/>
          </w:tcPr>
          <w:p>
            <w:pPr>
              <w:pStyle w:val="null3"/>
            </w:pPr>
            <w:r>
              <w:rPr>
                <w:rFonts w:ascii="仿宋_GB2312" w:hAnsi="仿宋_GB2312" w:cs="仿宋_GB2312" w:eastAsia="仿宋_GB2312"/>
              </w:rPr>
              <w:t>商务要求响应偏离表.docx 服务内容及要求响应偏离表.docx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磋商响应文件签署、盖章</w:t>
            </w:r>
          </w:p>
        </w:tc>
        <w:tc>
          <w:tcPr>
            <w:tcW w:type="dxa" w:w="3322"/>
          </w:tcPr>
          <w:p>
            <w:pPr>
              <w:pStyle w:val="null3"/>
            </w:pPr>
            <w:r>
              <w:rPr>
                <w:rFonts w:ascii="仿宋_GB2312" w:hAnsi="仿宋_GB2312" w:cs="仿宋_GB2312" w:eastAsia="仿宋_GB2312"/>
              </w:rPr>
              <w:t>磋商响应文件的签署、盖章合法、有效</w:t>
            </w:r>
          </w:p>
        </w:tc>
        <w:tc>
          <w:tcPr>
            <w:tcW w:type="dxa" w:w="1661"/>
          </w:tcPr>
          <w:p>
            <w:pPr>
              <w:pStyle w:val="null3"/>
            </w:pPr>
            <w:r>
              <w:rPr>
                <w:rFonts w:ascii="仿宋_GB2312" w:hAnsi="仿宋_GB2312" w:cs="仿宋_GB2312" w:eastAsia="仿宋_GB2312"/>
              </w:rPr>
              <w:t>磋商响应方案.docx 中小企业声明函 一般资格要求.docx 报价表 响应文件封面 分项报价表（2包）.docx 特殊资格要求.docx 残疾人福利性单位声明函 业绩证明材料.docx 标的清单 商务要求响应偏离表.docx 服务内容及要求响应偏离表.docx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磋商响应文件组成</w:t>
            </w:r>
          </w:p>
        </w:tc>
        <w:tc>
          <w:tcPr>
            <w:tcW w:type="dxa" w:w="3322"/>
          </w:tcPr>
          <w:p>
            <w:pPr>
              <w:pStyle w:val="null3"/>
            </w:pPr>
            <w:r>
              <w:rPr>
                <w:rFonts w:ascii="仿宋_GB2312" w:hAnsi="仿宋_GB2312" w:cs="仿宋_GB2312" w:eastAsia="仿宋_GB2312"/>
              </w:rPr>
              <w:t>未出现实质性内容的缺漏项</w:t>
            </w:r>
          </w:p>
        </w:tc>
        <w:tc>
          <w:tcPr>
            <w:tcW w:type="dxa" w:w="1661"/>
          </w:tcPr>
          <w:p>
            <w:pPr>
              <w:pStyle w:val="null3"/>
            </w:pPr>
            <w:r>
              <w:rPr>
                <w:rFonts w:ascii="仿宋_GB2312" w:hAnsi="仿宋_GB2312" w:cs="仿宋_GB2312" w:eastAsia="仿宋_GB2312"/>
              </w:rPr>
              <w:t>磋商响应方案.docx 中小企业声明函 一般资格要求.docx 报价表 响应文件封面 分项报价表（2包）.docx 特殊资格要求.docx 残疾人福利性单位声明函 业绩证明材料.docx 标的清单 商务要求响应偏离表.docx 服务内容及要求响应偏离表.docx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其他未达到磋商文件要求的情况</w:t>
            </w:r>
          </w:p>
        </w:tc>
        <w:tc>
          <w:tcPr>
            <w:tcW w:type="dxa" w:w="1661"/>
          </w:tcPr>
          <w:p>
            <w:pPr>
              <w:pStyle w:val="null3"/>
            </w:pPr>
            <w:r>
              <w:rPr>
                <w:rFonts w:ascii="仿宋_GB2312" w:hAnsi="仿宋_GB2312" w:cs="仿宋_GB2312" w:eastAsia="仿宋_GB2312"/>
              </w:rPr>
              <w:t>磋商响应方案.docx 中小企业声明函 一般资格要求.docx 报价表 响应文件封面 分项报价表（2包）.docx 特殊资格要求.docx 残疾人福利性单位声明函 业绩证明材料.docx 标的清单 商务要求响应偏离表.docx 服务内容及要求响应偏离表.docx 响应函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政府采购评审中出现下列情形之一的，评审委员会应当启动异常低价投标(响应)审查程序: （1）.投标(响应)报价低于全部通过符合性审查供应商投标(响应)报价平均值50%的，即投标(响应)报价＜全部通过符合性审查供应商投标(响应)报价平均值*50%; （2）.投标(响应)报价低于通过符合性审查的次低报价供应商投标(响应)报价50%的，即投标(响应)报价＜通过符合性审查的次低报价供应商投标(响应)报价*50%; （3）.投标(响应)报价低于采购项目最高限价45%的，即投标(响应)报价＜采购项目最高限价*45%; （4）.评审委员会基于专业判断，认为供应商报价过低，有可能影响产品质量或者不能诚信履约的其他情形。 评标委员会应当要求其在合理的时间内对投标（响应）价格做出解释，提供项目具体成本测算等与报价合理性相关的书面说明及必要的证明材料，包括但不限于原材料成本、人工成本、制造费用等，给予相关供应商的合理时间一般不少于30分钟。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分项报价表（3包）.docx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同时满足以下条款： （1）磋商报价符合唯一性要求；（2）报价未超出采购预算和最高限价</w:t>
            </w:r>
          </w:p>
        </w:tc>
        <w:tc>
          <w:tcPr>
            <w:tcW w:type="dxa" w:w="1661"/>
          </w:tcPr>
          <w:p>
            <w:pPr>
              <w:pStyle w:val="null3"/>
            </w:pPr>
            <w:r>
              <w:rPr>
                <w:rFonts w:ascii="仿宋_GB2312" w:hAnsi="仿宋_GB2312" w:cs="仿宋_GB2312" w:eastAsia="仿宋_GB2312"/>
              </w:rPr>
              <w:t>分项报价表（3包）.docx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满足商务条款及服务内容及服务要求条款</w:t>
            </w:r>
          </w:p>
        </w:tc>
        <w:tc>
          <w:tcPr>
            <w:tcW w:type="dxa" w:w="1661"/>
          </w:tcPr>
          <w:p>
            <w:pPr>
              <w:pStyle w:val="null3"/>
            </w:pPr>
            <w:r>
              <w:rPr>
                <w:rFonts w:ascii="仿宋_GB2312" w:hAnsi="仿宋_GB2312" w:cs="仿宋_GB2312" w:eastAsia="仿宋_GB2312"/>
              </w:rPr>
              <w:t>商务要求响应偏离表.docx 服务内容及要求响应偏离表.docx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磋商响应文件签署、盖章</w:t>
            </w:r>
          </w:p>
        </w:tc>
        <w:tc>
          <w:tcPr>
            <w:tcW w:type="dxa" w:w="3322"/>
          </w:tcPr>
          <w:p>
            <w:pPr>
              <w:pStyle w:val="null3"/>
            </w:pPr>
            <w:r>
              <w:rPr>
                <w:rFonts w:ascii="仿宋_GB2312" w:hAnsi="仿宋_GB2312" w:cs="仿宋_GB2312" w:eastAsia="仿宋_GB2312"/>
              </w:rPr>
              <w:t>磋商响应文件的签署、盖章合法、有效</w:t>
            </w:r>
          </w:p>
        </w:tc>
        <w:tc>
          <w:tcPr>
            <w:tcW w:type="dxa" w:w="1661"/>
          </w:tcPr>
          <w:p>
            <w:pPr>
              <w:pStyle w:val="null3"/>
            </w:pPr>
            <w:r>
              <w:rPr>
                <w:rFonts w:ascii="仿宋_GB2312" w:hAnsi="仿宋_GB2312" w:cs="仿宋_GB2312" w:eastAsia="仿宋_GB2312"/>
              </w:rPr>
              <w:t>磋商响应方案.docx 中小企业声明函 一般资格要求.docx 报价表 响应文件封面 分项报价表（3包）.docx 特殊资格要求.docx 残疾人福利性单位声明函 业绩证明材料.docx 标的清单 商务要求响应偏离表.docx 服务内容及要求响应偏离表.docx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磋商响应文件组成</w:t>
            </w:r>
          </w:p>
        </w:tc>
        <w:tc>
          <w:tcPr>
            <w:tcW w:type="dxa" w:w="3322"/>
          </w:tcPr>
          <w:p>
            <w:pPr>
              <w:pStyle w:val="null3"/>
            </w:pPr>
            <w:r>
              <w:rPr>
                <w:rFonts w:ascii="仿宋_GB2312" w:hAnsi="仿宋_GB2312" w:cs="仿宋_GB2312" w:eastAsia="仿宋_GB2312"/>
              </w:rPr>
              <w:t>未出现实质性内容的缺漏项</w:t>
            </w:r>
          </w:p>
        </w:tc>
        <w:tc>
          <w:tcPr>
            <w:tcW w:type="dxa" w:w="1661"/>
          </w:tcPr>
          <w:p>
            <w:pPr>
              <w:pStyle w:val="null3"/>
            </w:pPr>
            <w:r>
              <w:rPr>
                <w:rFonts w:ascii="仿宋_GB2312" w:hAnsi="仿宋_GB2312" w:cs="仿宋_GB2312" w:eastAsia="仿宋_GB2312"/>
              </w:rPr>
              <w:t>磋商响应方案.docx 中小企业声明函 一般资格要求.docx 报价表 响应文件封面 分项报价表（3包）.docx 特殊资格要求.docx 残疾人福利性单位声明函 业绩证明材料.docx 标的清单 商务要求响应偏离表.docx 服务内容及要求响应偏离表.docx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其他未达到磋商文件要求的情况</w:t>
            </w:r>
          </w:p>
        </w:tc>
        <w:tc>
          <w:tcPr>
            <w:tcW w:type="dxa" w:w="1661"/>
          </w:tcPr>
          <w:p>
            <w:pPr>
              <w:pStyle w:val="null3"/>
            </w:pPr>
            <w:r>
              <w:rPr>
                <w:rFonts w:ascii="仿宋_GB2312" w:hAnsi="仿宋_GB2312" w:cs="仿宋_GB2312" w:eastAsia="仿宋_GB2312"/>
              </w:rPr>
              <w:t>磋商响应方案.docx 中小企业声明函 一般资格要求.docx 报价表 响应文件封面 分项报价表（3包）.docx 特殊资格要求.docx 残疾人福利性单位声明函 业绩证明材料.docx 标的清单 商务要求响应偏离表.docx 服务内容及要求响应偏离表.docx 响应函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政府采购评审中出现下列情形之一的，评审委员会应当启动异常低价投标(响应)审查程序: （1）.投标(响应)报价低于全部通过符合性审查供应商投标(响应)报价平均值50%的，即投标(响应)报价＜全部通过符合性审查供应商投标(响应)报价平均值*50%; （2）.投标(响应)报价低于通过符合性审查的次低报价供应商投标(响应)报价50%的，即投标(响应)报价＜通过符合性审查的次低报价供应商投标(响应)报价*50%; （3）.投标(响应)报价低于采购项目最高限价45%的，即投标(响应)报价＜采购项目最高限价*45%; （4）.评审委员会基于专业判断，认为供应商报价过低，有可能影响产品质量或者不能诚信履约的其他情形。 评标委员会应当要求其在合理的时间内对投标（响应）价格做出解释，提供项目具体成本测算等与报价合理性相关的书面说明及必要的证明材料，包括但不限于原材料成本、人工成本、制造费用等，给予相关供应商的合理时间一般不少于30分钟。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分项报价表（4包）.docx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同时满足以下条款： （1）磋商报价符合唯一性要求；（2）报价未超出采购预算和最高限价</w:t>
            </w:r>
          </w:p>
        </w:tc>
        <w:tc>
          <w:tcPr>
            <w:tcW w:type="dxa" w:w="1661"/>
          </w:tcPr>
          <w:p>
            <w:pPr>
              <w:pStyle w:val="null3"/>
            </w:pPr>
            <w:r>
              <w:rPr>
                <w:rFonts w:ascii="仿宋_GB2312" w:hAnsi="仿宋_GB2312" w:cs="仿宋_GB2312" w:eastAsia="仿宋_GB2312"/>
              </w:rPr>
              <w:t>分项报价表（4包）.docx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满足商务条款及服务内容及服务要求条款</w:t>
            </w:r>
          </w:p>
        </w:tc>
        <w:tc>
          <w:tcPr>
            <w:tcW w:type="dxa" w:w="1661"/>
          </w:tcPr>
          <w:p>
            <w:pPr>
              <w:pStyle w:val="null3"/>
            </w:pPr>
            <w:r>
              <w:rPr>
                <w:rFonts w:ascii="仿宋_GB2312" w:hAnsi="仿宋_GB2312" w:cs="仿宋_GB2312" w:eastAsia="仿宋_GB2312"/>
              </w:rPr>
              <w:t>商务要求响应偏离表.docx 服务内容及要求响应偏离表.docx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磋商响应文件签署、盖章</w:t>
            </w:r>
          </w:p>
        </w:tc>
        <w:tc>
          <w:tcPr>
            <w:tcW w:type="dxa" w:w="3322"/>
          </w:tcPr>
          <w:p>
            <w:pPr>
              <w:pStyle w:val="null3"/>
            </w:pPr>
            <w:r>
              <w:rPr>
                <w:rFonts w:ascii="仿宋_GB2312" w:hAnsi="仿宋_GB2312" w:cs="仿宋_GB2312" w:eastAsia="仿宋_GB2312"/>
              </w:rPr>
              <w:t>磋商响应文件的签署、盖章合法、有效</w:t>
            </w:r>
          </w:p>
        </w:tc>
        <w:tc>
          <w:tcPr>
            <w:tcW w:type="dxa" w:w="1661"/>
          </w:tcPr>
          <w:p>
            <w:pPr>
              <w:pStyle w:val="null3"/>
            </w:pPr>
            <w:r>
              <w:rPr>
                <w:rFonts w:ascii="仿宋_GB2312" w:hAnsi="仿宋_GB2312" w:cs="仿宋_GB2312" w:eastAsia="仿宋_GB2312"/>
              </w:rPr>
              <w:t>磋商响应方案.docx 中小企业声明函 一般资格要求.docx 报价表 响应文件封面 特殊资格要求.docx 分项报价表（4包）.docx 残疾人福利性单位声明函 业绩证明材料.docx 标的清单 商务要求响应偏离表.docx 服务内容及要求响应偏离表.docx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磋商响应文件组成</w:t>
            </w:r>
          </w:p>
        </w:tc>
        <w:tc>
          <w:tcPr>
            <w:tcW w:type="dxa" w:w="3322"/>
          </w:tcPr>
          <w:p>
            <w:pPr>
              <w:pStyle w:val="null3"/>
            </w:pPr>
            <w:r>
              <w:rPr>
                <w:rFonts w:ascii="仿宋_GB2312" w:hAnsi="仿宋_GB2312" w:cs="仿宋_GB2312" w:eastAsia="仿宋_GB2312"/>
              </w:rPr>
              <w:t>未出现实质性内容的缺漏项</w:t>
            </w:r>
          </w:p>
        </w:tc>
        <w:tc>
          <w:tcPr>
            <w:tcW w:type="dxa" w:w="1661"/>
          </w:tcPr>
          <w:p>
            <w:pPr>
              <w:pStyle w:val="null3"/>
            </w:pPr>
            <w:r>
              <w:rPr>
                <w:rFonts w:ascii="仿宋_GB2312" w:hAnsi="仿宋_GB2312" w:cs="仿宋_GB2312" w:eastAsia="仿宋_GB2312"/>
              </w:rPr>
              <w:t>磋商响应方案.docx 中小企业声明函 一般资格要求.docx 报价表 响应文件封面 特殊资格要求.docx 分项报价表（4包）.docx 残疾人福利性单位声明函 业绩证明材料.docx 标的清单 商务要求响应偏离表.docx 服务内容及要求响应偏离表.docx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其他未达到磋商文件要求的情况</w:t>
            </w:r>
          </w:p>
        </w:tc>
        <w:tc>
          <w:tcPr>
            <w:tcW w:type="dxa" w:w="1661"/>
          </w:tcPr>
          <w:p>
            <w:pPr>
              <w:pStyle w:val="null3"/>
            </w:pPr>
            <w:r>
              <w:rPr>
                <w:rFonts w:ascii="仿宋_GB2312" w:hAnsi="仿宋_GB2312" w:cs="仿宋_GB2312" w:eastAsia="仿宋_GB2312"/>
              </w:rPr>
              <w:t>磋商响应方案.docx 中小企业声明函 一般资格要求.docx 报价表 响应文件封面 特殊资格要求.docx 分项报价表（4包）.docx 残疾人福利性单位声明函 业绩证明材料.docx 标的清单 商务要求响应偏离表.docx 服务内容及要求响应偏离表.docx 响应函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政府采购评审中出现下列情形之一的，评审委员会应当启动异常低价投标(响应)审查程序: （1）.投标(响应)报价低于全部通过符合性审查供应商投标(响应)报价平均值50%的，即投标(响应)报价＜全部通过符合性审查供应商投标(响应)报价平均值*50%; （2）.投标(响应)报价低于通过符合性审查的次低报价供应商投标(响应)报价50%的，即投标(响应)报价＜通过符合性审查的次低报价供应商投标(响应)报价*50%; （3）.投标(响应)报价低于采购项目最高限价45%的，即投标(响应)报价＜采购项目最高限价*45%; （4）.评审委员会基于专业判断，认为供应商报价过低，有可能影响产品质量或者不能诚信履约的其他情形。 评标委员会应当要求其在合理的时间内对投标（响应）价格做出解释，提供项目具体成本测算等与报价合理性相关的书面说明及必要的证明材料，包括但不限于原材料成本、人工成本、制造费用等，给予相关供应商的合理时间一般不少于30分钟。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分项报价表（5包）.docx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同时满足以下条款： （1）磋商报价符合唯一性要求；（2）报价未超出采购预算和最高限价</w:t>
            </w:r>
          </w:p>
        </w:tc>
        <w:tc>
          <w:tcPr>
            <w:tcW w:type="dxa" w:w="1661"/>
          </w:tcPr>
          <w:p>
            <w:pPr>
              <w:pStyle w:val="null3"/>
            </w:pPr>
            <w:r>
              <w:rPr>
                <w:rFonts w:ascii="仿宋_GB2312" w:hAnsi="仿宋_GB2312" w:cs="仿宋_GB2312" w:eastAsia="仿宋_GB2312"/>
              </w:rPr>
              <w:t>标的清单 报价表 分项报价表（5包）.docx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满足商务条款及服务内容及服务要求条款</w:t>
            </w:r>
          </w:p>
        </w:tc>
        <w:tc>
          <w:tcPr>
            <w:tcW w:type="dxa" w:w="1661"/>
          </w:tcPr>
          <w:p>
            <w:pPr>
              <w:pStyle w:val="null3"/>
            </w:pPr>
            <w:r>
              <w:rPr>
                <w:rFonts w:ascii="仿宋_GB2312" w:hAnsi="仿宋_GB2312" w:cs="仿宋_GB2312" w:eastAsia="仿宋_GB2312"/>
              </w:rPr>
              <w:t>商务要求响应偏离表.docx 服务内容及要求响应偏离表.docx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磋商响应文件签署、盖章</w:t>
            </w:r>
          </w:p>
        </w:tc>
        <w:tc>
          <w:tcPr>
            <w:tcW w:type="dxa" w:w="3322"/>
          </w:tcPr>
          <w:p>
            <w:pPr>
              <w:pStyle w:val="null3"/>
            </w:pPr>
            <w:r>
              <w:rPr>
                <w:rFonts w:ascii="仿宋_GB2312" w:hAnsi="仿宋_GB2312" w:cs="仿宋_GB2312" w:eastAsia="仿宋_GB2312"/>
              </w:rPr>
              <w:t>磋商响应文件的签署、盖章合法、有效</w:t>
            </w:r>
          </w:p>
        </w:tc>
        <w:tc>
          <w:tcPr>
            <w:tcW w:type="dxa" w:w="1661"/>
          </w:tcPr>
          <w:p>
            <w:pPr>
              <w:pStyle w:val="null3"/>
            </w:pPr>
            <w:r>
              <w:rPr>
                <w:rFonts w:ascii="仿宋_GB2312" w:hAnsi="仿宋_GB2312" w:cs="仿宋_GB2312" w:eastAsia="仿宋_GB2312"/>
              </w:rPr>
              <w:t>磋商响应方案.docx 中小企业声明函 一般资格要求.docx 报价表 分项报价表（5包）.docx 响应文件封面 特殊资格要求.docx 残疾人福利性单位声明函 业绩证明材料.docx 标的清单 商务要求响应偏离表.docx 服务内容及要求响应偏离表.docx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磋商响应文件组成</w:t>
            </w:r>
          </w:p>
        </w:tc>
        <w:tc>
          <w:tcPr>
            <w:tcW w:type="dxa" w:w="3322"/>
          </w:tcPr>
          <w:p>
            <w:pPr>
              <w:pStyle w:val="null3"/>
            </w:pPr>
            <w:r>
              <w:rPr>
                <w:rFonts w:ascii="仿宋_GB2312" w:hAnsi="仿宋_GB2312" w:cs="仿宋_GB2312" w:eastAsia="仿宋_GB2312"/>
              </w:rPr>
              <w:t>未出现实质性内容的缺漏项</w:t>
            </w:r>
          </w:p>
        </w:tc>
        <w:tc>
          <w:tcPr>
            <w:tcW w:type="dxa" w:w="1661"/>
          </w:tcPr>
          <w:p>
            <w:pPr>
              <w:pStyle w:val="null3"/>
            </w:pPr>
            <w:r>
              <w:rPr>
                <w:rFonts w:ascii="仿宋_GB2312" w:hAnsi="仿宋_GB2312" w:cs="仿宋_GB2312" w:eastAsia="仿宋_GB2312"/>
              </w:rPr>
              <w:t>磋商响应方案.docx 中小企业声明函 一般资格要求.docx 报价表 分项报价表（5包）.docx 响应文件封面 特殊资格要求.docx 残疾人福利性单位声明函 业绩证明材料.docx 标的清单 商务要求响应偏离表.docx 服务内容及要求响应偏离表.docx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其他未达到磋商文件要求的情况</w:t>
            </w:r>
          </w:p>
        </w:tc>
        <w:tc>
          <w:tcPr>
            <w:tcW w:type="dxa" w:w="1661"/>
          </w:tcPr>
          <w:p>
            <w:pPr>
              <w:pStyle w:val="null3"/>
            </w:pPr>
            <w:r>
              <w:rPr>
                <w:rFonts w:ascii="仿宋_GB2312" w:hAnsi="仿宋_GB2312" w:cs="仿宋_GB2312" w:eastAsia="仿宋_GB2312"/>
              </w:rPr>
              <w:t>磋商响应方案.docx 中小企业声明函 一般资格要求.docx 报价表 分项报价表（5包）.docx 响应文件封面 特殊资格要求.docx 残疾人福利性单位声明函 业绩证明材料.docx 标的清单 商务要求响应偏离表.docx 服务内容及要求响应偏离表.docx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4：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5：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采购包4：</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采购包5：</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供应商针对本项目提供服务方案，方案需包含以下内容：①赛事总体安排方案；②后勤保障措施；③赛场布置方案；④媒体宣传方案；⑤器材和设施配置（比赛设备、裁判用品）；⑥项目进度安排及保障措施； 方案应包含且不限于理论计算、文字描述等内容，未提供的本项不得分。 方案各部分内容全面详细、阐述条理清晰详尽、符合本项目采购需求，能有效保障本项目实施的计36分。每有一项内容缺失扣6分，每有一项内容每存在以下1种缺陷扣1分，扣完为止。 说明：缺陷是指：①内容不完整、不合理；②虽有内容但不完善详细，内容过于简略、条理不清；③内容表述前后不一致、内容前后矛盾、或缺少关键节点；④套用其他项目方案、非专门针对本项目或不适用项目特性的情形；⑤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裁判团队配置</w:t>
            </w:r>
          </w:p>
        </w:tc>
        <w:tc>
          <w:tcPr>
            <w:tcW w:type="dxa" w:w="2492"/>
          </w:tcPr>
          <w:p>
            <w:pPr>
              <w:pStyle w:val="null3"/>
            </w:pPr>
            <w:r>
              <w:rPr>
                <w:rFonts w:ascii="仿宋_GB2312" w:hAnsi="仿宋_GB2312" w:cs="仿宋_GB2312" w:eastAsia="仿宋_GB2312"/>
              </w:rPr>
              <w:t>对本项目裁判团队配置情况进行赋分： 供应商提供拟定裁判团队人员明细，并提供人员岗位证书。 ①团队架构完善，人员安排合理，岗位证书齐全，完全符合项目要求计14分； ②团队人员配置明确、合理，岗位证书基本齐全计10分； ③团队人员配置基本合理，提供部分岗位证书计6分； ④团队人员配备严重欠缺，未提供证明文件，无法满足项目需求得2分。未提供不得分。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供应商针对本项目提供的应急保障方案，包含以下内容：①设备故障应急措施；②极端天气应急措施；③医疗救援保障措施；④赛事安保应急措施； 方案各部分内容全面详细、阐述条理清晰详尽、符合本项目采购需求，能有效保障本项目实施的计24分。每有一项内容缺失扣6分，每有一项内容每存在以下1种缺陷扣1分，扣完为止。 说明：缺陷是指：①内容不完整、不合理；②虽有内容但不完善详细，内容过于简略、条理不清；③内容表述前后不一致、内容前后矛盾、或缺少关键节点；④套用其他项目方案、非专门针对本项目或不适用项目特性的情形；⑤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承诺和合理化建议</w:t>
            </w:r>
          </w:p>
        </w:tc>
        <w:tc>
          <w:tcPr>
            <w:tcW w:type="dxa" w:w="2492"/>
          </w:tcPr>
          <w:p>
            <w:pPr>
              <w:pStyle w:val="null3"/>
            </w:pPr>
            <w:r>
              <w:rPr>
                <w:rFonts w:ascii="仿宋_GB2312" w:hAnsi="仿宋_GB2312" w:cs="仿宋_GB2312" w:eastAsia="仿宋_GB2312"/>
              </w:rPr>
              <w:t>供应商针对本项目提出有利于本项目实施的承诺和合理化建议。①承诺内容清晰、承诺指标明确，合理化建议有利于本项目实施，计5分； ②承诺内容相对合理，合理化建议基本满足项目需求，计3分。③承诺内容不明确，合理化建议可行性较差计1分。未提供不计分。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提供自2023年1月1日起至今的体育赛事类承办项目业绩证明材料，每提供一份完整的业绩证明材料得2分，满分为6分。 （时间以合同签订时间为准，提供合同复印件和对应项目任意1张发票并加盖供应商公章，证明材料不提供或提供不全的不得分）。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供应商针对本项目提供服务方案，方案需包含以下内容：①赛事总体安排方案；②后勤保障措施；③赛场布置方案；④媒体宣传方案；⑤器材和设施配置（比赛设备、裁判用品）；⑥项目进度安排及保障措施； 方案应包含且不限于理论计算、文字描述等内容，未提供的本项不得分。 方案各部分内容全面详细、阐述条理清晰详尽、符合本项目采购需求，能有效保障本项目实施的计36分。每有一项内容缺失扣6分，每有一项内容每存在以下1种缺陷扣1分，扣完为止。 说明：缺陷是指：①内容不完整、不合理；②虽有内容但不完善详细，内容过于简略、条理不清；③内容表述前后不一致、内容前后矛盾、或缺少关键节点；④套用其他项目方案、非专门针对本项目或不适用项目特性的情形；⑤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裁判团队配置</w:t>
            </w:r>
          </w:p>
        </w:tc>
        <w:tc>
          <w:tcPr>
            <w:tcW w:type="dxa" w:w="2492"/>
          </w:tcPr>
          <w:p>
            <w:pPr>
              <w:pStyle w:val="null3"/>
            </w:pPr>
            <w:r>
              <w:rPr>
                <w:rFonts w:ascii="仿宋_GB2312" w:hAnsi="仿宋_GB2312" w:cs="仿宋_GB2312" w:eastAsia="仿宋_GB2312"/>
              </w:rPr>
              <w:t>对本项目裁判团队配置情况进行赋分： 供应商提供拟定裁判团队人员明细，并提供人员岗位证书。 ①团队架构完善，人员安排合理，岗位证书齐全，完全符合项目要求计14分； ②团队人员配置明确、合理，岗位证书基本齐全计10分； ③团队人员配置基本合理，提供部分岗位证书计6分； ④团队人员配备严重欠缺，未提供证明文件，无法满足项目需求得2分。未提供不得分。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供应商针对本项目提供的应急保障方案，包含以下内容：①设备故障应急措施；②极端天气应急措施；③医疗救援保障措施；④赛事安保应急措施； 方案各部分内容全面详细、阐述条理清晰详尽、符合本项目采购需求，能有效保障本项目实施的计24分。每有一项内容缺失扣6分，每有一项内容每存在以下1种缺陷扣1分，扣完为止。 说明：缺陷是指：①内容不完整、不合理；②虽有内容但不完善详细，内容过于简略、条理不清；③内容表述前后不一致、内容前后矛盾、或缺少关键节点；④套用其他项目方案、非专门针对本项目或不适用项目特性的情形；⑤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承诺和合理化建议</w:t>
            </w:r>
          </w:p>
        </w:tc>
        <w:tc>
          <w:tcPr>
            <w:tcW w:type="dxa" w:w="2492"/>
          </w:tcPr>
          <w:p>
            <w:pPr>
              <w:pStyle w:val="null3"/>
            </w:pPr>
            <w:r>
              <w:rPr>
                <w:rFonts w:ascii="仿宋_GB2312" w:hAnsi="仿宋_GB2312" w:cs="仿宋_GB2312" w:eastAsia="仿宋_GB2312"/>
              </w:rPr>
              <w:t>供应商针对本项目提出有利于本项目实施的承诺和合理化建议。①承诺内容清晰、承诺指标明确，合理化建议有利于本项目实施，计5分； ②承诺内容相对合理，合理化建议基本满足项目需求，计3分。③承诺内容不明确，合理化建议可行性较差计1分。未提供不计分。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提供自2023年1月1日起至今的体育赛事类承办项目业绩证明材料，每提供一份完整的业绩证明材料得2分，满分为6分。 （时间以合同签订时间为准，提供合同复印件和对应项目任意1张发票并加盖供应商公章，证明材料不提供或提供不全的不得分）。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供应商针对本项目提供服务方案，方案需包含以下内容：①赛事总体安排方案；②后勤保障措施；③赛场布置方案；④媒体宣传方案；⑤器材和设施配置（比赛设备、裁判用品）；⑥项目进度安排及保障措施； 方案应包含且不限于理论计算、文字描述等内容，未提供的本项不得分。 方案各部分内容全面详细、阐述条理清晰详尽、符合本项目采购需求，能有效保障本项目实施的计36分。每有一项内容缺失扣6分，每有一项内容每存在以下1种缺陷扣1分，扣完为止。 说明：缺陷是指：①内容不完整、不合理；②虽有内容但不完善详细，内容过于简略、条理不清；③内容表述前后不一致、内容前后矛盾、或缺少关键节点；④套用其他项目方案、非专门针对本项目或不适用项目特性的情形；⑤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裁判团队配置</w:t>
            </w:r>
          </w:p>
        </w:tc>
        <w:tc>
          <w:tcPr>
            <w:tcW w:type="dxa" w:w="2492"/>
          </w:tcPr>
          <w:p>
            <w:pPr>
              <w:pStyle w:val="null3"/>
            </w:pPr>
            <w:r>
              <w:rPr>
                <w:rFonts w:ascii="仿宋_GB2312" w:hAnsi="仿宋_GB2312" w:cs="仿宋_GB2312" w:eastAsia="仿宋_GB2312"/>
              </w:rPr>
              <w:t>对本项目裁判团队配置情况进行赋分： 供应商提供拟定裁判团队人员明细，并提供人员岗位证书。 ①团队架构完善，人员安排合理，岗位证书齐全，完全符合项目要求计14分； ②团队人员配置明确、合理，岗位证书基本齐全计10分； ③团队人员配置基本合理，提供部分岗位证书计6分； ④团队人员配备严重欠缺，未提供证明文件，无法满足项目需求得2分。未提供不得分。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供应商针对本项目提供的应急保障方案，包含以下内容：①设备故障应急措施；②极端天气应急措施；③医疗救援保障措施；④赛事安保应急措施； 方案各部分内容全面详细、阐述条理清晰详尽、符合本项目采购需求，能有效保障本项目实施的计24分。每有一项内容缺失扣6分，每有一项内容每存在以下1种缺陷扣1分，扣完为止。 说明：缺陷是指：①内容不完整、不合理；②虽有内容但不完善详细，内容过于简略、条理不清；③内容表述前后不一致、内容前后矛盾、或缺少关键节点；④套用其他项目方案、非专门针对本项目或不适用项目特性的情形；⑤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承诺和合理化建议</w:t>
            </w:r>
          </w:p>
        </w:tc>
        <w:tc>
          <w:tcPr>
            <w:tcW w:type="dxa" w:w="2492"/>
          </w:tcPr>
          <w:p>
            <w:pPr>
              <w:pStyle w:val="null3"/>
            </w:pPr>
            <w:r>
              <w:rPr>
                <w:rFonts w:ascii="仿宋_GB2312" w:hAnsi="仿宋_GB2312" w:cs="仿宋_GB2312" w:eastAsia="仿宋_GB2312"/>
              </w:rPr>
              <w:t>供应商针对本项目提出有利于本项目实施的承诺和合理化建议。①承诺内容清晰、承诺指标明确，合理化建议有利于本项目实施，计5分； ②承诺内容相对合理，合理化建议基本满足项目需求，计3分。③承诺内容不明确，合理化建议可行性较差计1分。未提供不计分。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提供自2023年1月1日起至今的体育赛事类承办项目业绩证明材料，每提供一份完整的业绩证明材料得2分，满分为6分。 （时间以合同签订时间为准，提供合同复印件和对应项目任意1张发票并加盖供应商公章，证明材料不提供或提供不全的不得分）。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供应商针对本项目提供服务方案，方案需包含以下内容：①赛事总体安排方案；②后勤保障措施；③赛场布置方案；④媒体宣传方案；⑤器材和设施配置（比赛设备、裁判用品）；⑥项目进度安排及保障措施； 方案应包含且不限于理论计算、文字描述等内容，未提供的本项不得分。 方案各部分内容全面详细、阐述条理清晰详尽、符合本项目采购需求，能有效保障本项目实施的计36分。每有一项内容缺失扣6分，每有一项内容每存在以下1种缺陷扣1分，扣完为止。 说明：缺陷是指：①内容不完整、不合理；②虽有内容但不完善详细，内容过于简略、条理不清；③内容表述前后不一致、内容前后矛盾、或缺少关键节点；④套用其他项目方案、非专门针对本项目或不适用项目特性的情形；⑤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裁判团队配置</w:t>
            </w:r>
          </w:p>
        </w:tc>
        <w:tc>
          <w:tcPr>
            <w:tcW w:type="dxa" w:w="2492"/>
          </w:tcPr>
          <w:p>
            <w:pPr>
              <w:pStyle w:val="null3"/>
            </w:pPr>
            <w:r>
              <w:rPr>
                <w:rFonts w:ascii="仿宋_GB2312" w:hAnsi="仿宋_GB2312" w:cs="仿宋_GB2312" w:eastAsia="仿宋_GB2312"/>
              </w:rPr>
              <w:t>对本项目裁判团队配置情况进行赋分： 供应商提供拟定裁判团队人员明细，并提供人员岗位证书。 ①团队架构完善，人员安排合理，岗位证书齐全，完全符合项目要求计14分； ②团队人员配置明确、合理，岗位证书基本齐全计10分； ③团队人员配置基本合理，提供部分岗位证书计6分； ④团队人员配备严重欠缺，未提供证明文件，无法满足项目需求得2分。未提供不得分。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供应商针对本项目提供的应急保障方案，包含以下内容：①设备故障应急措施；②极端天气应急措施；③医疗救援保障措施；④赛事安保应急措施； 方案各部分内容全面详细、阐述条理清晰详尽、符合本项目采购需求，能有效保障本项目实施的计24分。每有一项内容缺失扣6分，每有一项内容每存在以下1种缺陷扣1分，扣完为止。 说明：缺陷是指：①内容不完整、不合理；②虽有内容但不完善详细，内容过于简略、条理不清；③内容表述前后不一致、内容前后矛盾、或缺少关键节点；④套用其他项目方案、非专门针对本项目或不适用项目特性的情形；⑤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承诺和合理化建议</w:t>
            </w:r>
          </w:p>
        </w:tc>
        <w:tc>
          <w:tcPr>
            <w:tcW w:type="dxa" w:w="2492"/>
          </w:tcPr>
          <w:p>
            <w:pPr>
              <w:pStyle w:val="null3"/>
            </w:pPr>
            <w:r>
              <w:rPr>
                <w:rFonts w:ascii="仿宋_GB2312" w:hAnsi="仿宋_GB2312" w:cs="仿宋_GB2312" w:eastAsia="仿宋_GB2312"/>
              </w:rPr>
              <w:t>供应商针对本项目提出有利于本项目实施的承诺和合理化建议。①承诺内容清晰、承诺指标明确，合理化建议有利于本项目实施，计5分； ②承诺内容相对合理，合理化建议基本满足项目需求，计3分。③承诺内容不明确，合理化建议可行性较差计1分。未提供不计分。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提供自2023年1月1日起至今的体育赛事类承办项目业绩证明材料，每提供一份完整的业绩证明材料得2分，满分为6分。 （时间以合同签订时间为准，提供合同复印件和对应项目任意1张发票并加盖供应商公章，证明材料不提供或提供不全的不得分）。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供应商针对本项目提供服务方案，方案需包含以下内容：①赛事总体安排方案；②后勤保障措施；③赛场布置方案；④媒体宣传方案；⑤器材和设施配置（比赛设备、裁判用品）；⑥项目进度安排及保障措施； 方案应包含且不限于理论计算、文字描述等内容，未提供的本项不得分。 方案各部分内容全面详细、阐述条理清晰详尽、符合本项目采购需求，能有效保障本项目实施的计36分。每有一项内容缺失扣6分，每有一项内容每存在以下1种缺陷扣1分，扣完为止。 说明：缺陷是指：①内容不完整、不合理；②虽有内容但不完善详细，内容过于简略、条理不清；③内容表述前后不一致、内容前后矛盾、或缺少关键节点；④套用其他项目方案、非专门针对本项目或不适用项目特性的情形；⑤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裁判团队配置</w:t>
            </w:r>
          </w:p>
        </w:tc>
        <w:tc>
          <w:tcPr>
            <w:tcW w:type="dxa" w:w="2492"/>
          </w:tcPr>
          <w:p>
            <w:pPr>
              <w:pStyle w:val="null3"/>
            </w:pPr>
            <w:r>
              <w:rPr>
                <w:rFonts w:ascii="仿宋_GB2312" w:hAnsi="仿宋_GB2312" w:cs="仿宋_GB2312" w:eastAsia="仿宋_GB2312"/>
              </w:rPr>
              <w:t>对本项目裁判团队配置情况进行赋分： 供应商提供拟定裁判团队人员明细，并提供人员岗位证书。 ①团队架构完善，人员安排合理，岗位证书齐全，完全符合项目要求计14分； ②团队人员配置明确、合理，岗位证书基本齐全计10分； ③团队人员配置基本合理，提供部分岗位证书计6分； ④团队人员配备严重欠缺，未提供证明文件，无法满足项目需求得2分。未提供不得分。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供应商针对本项目提供的应急保障方案，包含以下内容：①设备故障应急措施；②极端天气应急措施；③医疗救援保障措施；④赛事安保应急措施； 方案各部分内容全面详细、阐述条理清晰详尽、符合本项目采购需求，能有效保障本项目实施的计24分。每有一项内容缺失扣6分，每有一项内容每存在以下1种缺陷扣1分，扣完为止。 说明：缺陷是指：①内容不完整、不合理；②虽有内容但不完善详细，内容过于简略、条理不清；③内容表述前后不一致、内容前后矛盾、或缺少关键节点；④套用其他项目方案、非专门针对本项目或不适用项目特性的情形；⑤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承诺和合理化建议</w:t>
            </w:r>
          </w:p>
        </w:tc>
        <w:tc>
          <w:tcPr>
            <w:tcW w:type="dxa" w:w="2492"/>
          </w:tcPr>
          <w:p>
            <w:pPr>
              <w:pStyle w:val="null3"/>
            </w:pPr>
            <w:r>
              <w:rPr>
                <w:rFonts w:ascii="仿宋_GB2312" w:hAnsi="仿宋_GB2312" w:cs="仿宋_GB2312" w:eastAsia="仿宋_GB2312"/>
              </w:rPr>
              <w:t>供应商针对本项目提出有利于本项目实施的承诺和合理化建议。①承诺内容清晰、承诺指标明确，合理化建议有利于本项目实施，计5分； ②承诺内容相对合理，合理化建议基本满足项目需求，计3分。③承诺内容不明确，合理化建议可行性较差计1分。未提供不计分。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提供自2023年1月1日起至今的体育赛事类承办项目业绩证明材料，每提供一份完整的业绩证明材料得2分，满分为6分。 （时间以合同签订时间为准，提供合同复印件和对应项目任意1张发票并加盖供应商公章，证明材料不提供或提供不全的不得分）。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详见附件：分项报价表（1包）.docx</w:t>
      </w:r>
    </w:p>
    <w:p>
      <w:pPr>
        <w:pStyle w:val="null3"/>
        <w:ind w:firstLine="960"/>
      </w:pPr>
      <w:r>
        <w:rPr>
          <w:rFonts w:ascii="仿宋_GB2312" w:hAnsi="仿宋_GB2312" w:cs="仿宋_GB2312" w:eastAsia="仿宋_GB2312"/>
        </w:rPr>
        <w:t>详见附件：一般资格要求.docx</w:t>
      </w:r>
    </w:p>
    <w:p>
      <w:pPr>
        <w:pStyle w:val="null3"/>
        <w:ind w:firstLine="960"/>
      </w:pPr>
      <w:r>
        <w:rPr>
          <w:rFonts w:ascii="仿宋_GB2312" w:hAnsi="仿宋_GB2312" w:cs="仿宋_GB2312" w:eastAsia="仿宋_GB2312"/>
        </w:rPr>
        <w:t>详见附件：特殊资格要求.docx</w:t>
      </w:r>
    </w:p>
    <w:p>
      <w:pPr>
        <w:pStyle w:val="null3"/>
        <w:ind w:firstLine="960"/>
      </w:pPr>
      <w:r>
        <w:rPr>
          <w:rFonts w:ascii="仿宋_GB2312" w:hAnsi="仿宋_GB2312" w:cs="仿宋_GB2312" w:eastAsia="仿宋_GB2312"/>
        </w:rPr>
        <w:t>详见附件：商务要求响应偏离表.docx</w:t>
      </w:r>
    </w:p>
    <w:p>
      <w:pPr>
        <w:pStyle w:val="null3"/>
        <w:ind w:firstLine="960"/>
      </w:pPr>
      <w:r>
        <w:rPr>
          <w:rFonts w:ascii="仿宋_GB2312" w:hAnsi="仿宋_GB2312" w:cs="仿宋_GB2312" w:eastAsia="仿宋_GB2312"/>
        </w:rPr>
        <w:t>详见附件：服务内容及要求响应偏离表.docx</w:t>
      </w:r>
    </w:p>
    <w:p>
      <w:pPr>
        <w:pStyle w:val="null3"/>
        <w:ind w:firstLine="960"/>
      </w:pPr>
      <w:r>
        <w:rPr>
          <w:rFonts w:ascii="仿宋_GB2312" w:hAnsi="仿宋_GB2312" w:cs="仿宋_GB2312" w:eastAsia="仿宋_GB2312"/>
        </w:rPr>
        <w:t>详见附件：磋商响应方案.docx</w:t>
      </w:r>
    </w:p>
    <w:p>
      <w:pPr>
        <w:pStyle w:val="null3"/>
        <w:ind w:firstLine="960"/>
      </w:pPr>
      <w:r>
        <w:rPr>
          <w:rFonts w:ascii="仿宋_GB2312" w:hAnsi="仿宋_GB2312" w:cs="仿宋_GB2312" w:eastAsia="仿宋_GB2312"/>
        </w:rPr>
        <w:t>详见附件：业绩证明材料.docx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详见附件：分项报价表（2包）.docx</w:t>
      </w:r>
    </w:p>
    <w:p>
      <w:pPr>
        <w:pStyle w:val="null3"/>
        <w:ind w:firstLine="960"/>
      </w:pPr>
      <w:r>
        <w:rPr>
          <w:rFonts w:ascii="仿宋_GB2312" w:hAnsi="仿宋_GB2312" w:cs="仿宋_GB2312" w:eastAsia="仿宋_GB2312"/>
        </w:rPr>
        <w:t>详见附件：一般资格要求.docx</w:t>
      </w:r>
    </w:p>
    <w:p>
      <w:pPr>
        <w:pStyle w:val="null3"/>
        <w:ind w:firstLine="960"/>
      </w:pPr>
      <w:r>
        <w:rPr>
          <w:rFonts w:ascii="仿宋_GB2312" w:hAnsi="仿宋_GB2312" w:cs="仿宋_GB2312" w:eastAsia="仿宋_GB2312"/>
        </w:rPr>
        <w:t>详见附件：特殊资格要求.docx</w:t>
      </w:r>
    </w:p>
    <w:p>
      <w:pPr>
        <w:pStyle w:val="null3"/>
        <w:ind w:firstLine="960"/>
      </w:pPr>
      <w:r>
        <w:rPr>
          <w:rFonts w:ascii="仿宋_GB2312" w:hAnsi="仿宋_GB2312" w:cs="仿宋_GB2312" w:eastAsia="仿宋_GB2312"/>
        </w:rPr>
        <w:t>详见附件：商务要求响应偏离表.docx</w:t>
      </w:r>
    </w:p>
    <w:p>
      <w:pPr>
        <w:pStyle w:val="null3"/>
        <w:ind w:firstLine="960"/>
      </w:pPr>
      <w:r>
        <w:rPr>
          <w:rFonts w:ascii="仿宋_GB2312" w:hAnsi="仿宋_GB2312" w:cs="仿宋_GB2312" w:eastAsia="仿宋_GB2312"/>
        </w:rPr>
        <w:t>详见附件：服务内容及要求响应偏离表.docx</w:t>
      </w:r>
    </w:p>
    <w:p>
      <w:pPr>
        <w:pStyle w:val="null3"/>
        <w:ind w:firstLine="960"/>
      </w:pPr>
      <w:r>
        <w:rPr>
          <w:rFonts w:ascii="仿宋_GB2312" w:hAnsi="仿宋_GB2312" w:cs="仿宋_GB2312" w:eastAsia="仿宋_GB2312"/>
        </w:rPr>
        <w:t>详见附件：磋商响应方案.docx</w:t>
      </w:r>
    </w:p>
    <w:p>
      <w:pPr>
        <w:pStyle w:val="null3"/>
        <w:ind w:firstLine="960"/>
      </w:pPr>
      <w:r>
        <w:rPr>
          <w:rFonts w:ascii="仿宋_GB2312" w:hAnsi="仿宋_GB2312" w:cs="仿宋_GB2312" w:eastAsia="仿宋_GB2312"/>
        </w:rPr>
        <w:t>详见附件：业绩证明材料.docx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详见附件：分项报价表（3包）.docx</w:t>
      </w:r>
    </w:p>
    <w:p>
      <w:pPr>
        <w:pStyle w:val="null3"/>
        <w:ind w:firstLine="960"/>
      </w:pPr>
      <w:r>
        <w:rPr>
          <w:rFonts w:ascii="仿宋_GB2312" w:hAnsi="仿宋_GB2312" w:cs="仿宋_GB2312" w:eastAsia="仿宋_GB2312"/>
        </w:rPr>
        <w:t>详见附件：一般资格要求.docx</w:t>
      </w:r>
    </w:p>
    <w:p>
      <w:pPr>
        <w:pStyle w:val="null3"/>
        <w:ind w:firstLine="960"/>
      </w:pPr>
      <w:r>
        <w:rPr>
          <w:rFonts w:ascii="仿宋_GB2312" w:hAnsi="仿宋_GB2312" w:cs="仿宋_GB2312" w:eastAsia="仿宋_GB2312"/>
        </w:rPr>
        <w:t>详见附件：特殊资格要求.docx</w:t>
      </w:r>
    </w:p>
    <w:p>
      <w:pPr>
        <w:pStyle w:val="null3"/>
        <w:ind w:firstLine="960"/>
      </w:pPr>
      <w:r>
        <w:rPr>
          <w:rFonts w:ascii="仿宋_GB2312" w:hAnsi="仿宋_GB2312" w:cs="仿宋_GB2312" w:eastAsia="仿宋_GB2312"/>
        </w:rPr>
        <w:t>详见附件：商务要求响应偏离表.docx</w:t>
      </w:r>
    </w:p>
    <w:p>
      <w:pPr>
        <w:pStyle w:val="null3"/>
        <w:ind w:firstLine="960"/>
      </w:pPr>
      <w:r>
        <w:rPr>
          <w:rFonts w:ascii="仿宋_GB2312" w:hAnsi="仿宋_GB2312" w:cs="仿宋_GB2312" w:eastAsia="仿宋_GB2312"/>
        </w:rPr>
        <w:t>详见附件：服务内容及要求响应偏离表.docx</w:t>
      </w:r>
    </w:p>
    <w:p>
      <w:pPr>
        <w:pStyle w:val="null3"/>
        <w:ind w:firstLine="960"/>
      </w:pPr>
      <w:r>
        <w:rPr>
          <w:rFonts w:ascii="仿宋_GB2312" w:hAnsi="仿宋_GB2312" w:cs="仿宋_GB2312" w:eastAsia="仿宋_GB2312"/>
        </w:rPr>
        <w:t>详见附件：磋商响应方案.docx</w:t>
      </w:r>
    </w:p>
    <w:p>
      <w:pPr>
        <w:pStyle w:val="null3"/>
        <w:ind w:firstLine="960"/>
      </w:pPr>
      <w:r>
        <w:rPr>
          <w:rFonts w:ascii="仿宋_GB2312" w:hAnsi="仿宋_GB2312" w:cs="仿宋_GB2312" w:eastAsia="仿宋_GB2312"/>
        </w:rPr>
        <w:t>详见附件：业绩证明材料.docx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详见附件：分项报价表（4包）.docx</w:t>
      </w:r>
    </w:p>
    <w:p>
      <w:pPr>
        <w:pStyle w:val="null3"/>
        <w:ind w:firstLine="960"/>
      </w:pPr>
      <w:r>
        <w:rPr>
          <w:rFonts w:ascii="仿宋_GB2312" w:hAnsi="仿宋_GB2312" w:cs="仿宋_GB2312" w:eastAsia="仿宋_GB2312"/>
        </w:rPr>
        <w:t>详见附件：一般资格要求.docx</w:t>
      </w:r>
    </w:p>
    <w:p>
      <w:pPr>
        <w:pStyle w:val="null3"/>
        <w:ind w:firstLine="960"/>
      </w:pPr>
      <w:r>
        <w:rPr>
          <w:rFonts w:ascii="仿宋_GB2312" w:hAnsi="仿宋_GB2312" w:cs="仿宋_GB2312" w:eastAsia="仿宋_GB2312"/>
        </w:rPr>
        <w:t>详见附件：特殊资格要求.docx</w:t>
      </w:r>
    </w:p>
    <w:p>
      <w:pPr>
        <w:pStyle w:val="null3"/>
        <w:ind w:firstLine="960"/>
      </w:pPr>
      <w:r>
        <w:rPr>
          <w:rFonts w:ascii="仿宋_GB2312" w:hAnsi="仿宋_GB2312" w:cs="仿宋_GB2312" w:eastAsia="仿宋_GB2312"/>
        </w:rPr>
        <w:t>详见附件：商务要求响应偏离表.docx</w:t>
      </w:r>
    </w:p>
    <w:p>
      <w:pPr>
        <w:pStyle w:val="null3"/>
        <w:ind w:firstLine="960"/>
      </w:pPr>
      <w:r>
        <w:rPr>
          <w:rFonts w:ascii="仿宋_GB2312" w:hAnsi="仿宋_GB2312" w:cs="仿宋_GB2312" w:eastAsia="仿宋_GB2312"/>
        </w:rPr>
        <w:t>详见附件：服务内容及要求响应偏离表.docx</w:t>
      </w:r>
    </w:p>
    <w:p>
      <w:pPr>
        <w:pStyle w:val="null3"/>
        <w:ind w:firstLine="960"/>
      </w:pPr>
      <w:r>
        <w:rPr>
          <w:rFonts w:ascii="仿宋_GB2312" w:hAnsi="仿宋_GB2312" w:cs="仿宋_GB2312" w:eastAsia="仿宋_GB2312"/>
        </w:rPr>
        <w:t>详见附件：磋商响应方案.docx</w:t>
      </w:r>
    </w:p>
    <w:p>
      <w:pPr>
        <w:pStyle w:val="null3"/>
        <w:ind w:firstLine="960"/>
      </w:pPr>
      <w:r>
        <w:rPr>
          <w:rFonts w:ascii="仿宋_GB2312" w:hAnsi="仿宋_GB2312" w:cs="仿宋_GB2312" w:eastAsia="仿宋_GB2312"/>
        </w:rPr>
        <w:t>详见附件：业绩证明材料.docx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详见附件：分项报价表（5包）.docx</w:t>
      </w:r>
    </w:p>
    <w:p>
      <w:pPr>
        <w:pStyle w:val="null3"/>
        <w:ind w:firstLine="960"/>
      </w:pPr>
      <w:r>
        <w:rPr>
          <w:rFonts w:ascii="仿宋_GB2312" w:hAnsi="仿宋_GB2312" w:cs="仿宋_GB2312" w:eastAsia="仿宋_GB2312"/>
        </w:rPr>
        <w:t>详见附件：一般资格要求.docx</w:t>
      </w:r>
    </w:p>
    <w:p>
      <w:pPr>
        <w:pStyle w:val="null3"/>
        <w:ind w:firstLine="960"/>
      </w:pPr>
      <w:r>
        <w:rPr>
          <w:rFonts w:ascii="仿宋_GB2312" w:hAnsi="仿宋_GB2312" w:cs="仿宋_GB2312" w:eastAsia="仿宋_GB2312"/>
        </w:rPr>
        <w:t>详见附件：特殊资格要求.docx</w:t>
      </w:r>
    </w:p>
    <w:p>
      <w:pPr>
        <w:pStyle w:val="null3"/>
        <w:ind w:firstLine="960"/>
      </w:pPr>
      <w:r>
        <w:rPr>
          <w:rFonts w:ascii="仿宋_GB2312" w:hAnsi="仿宋_GB2312" w:cs="仿宋_GB2312" w:eastAsia="仿宋_GB2312"/>
        </w:rPr>
        <w:t>详见附件：商务要求响应偏离表.docx</w:t>
      </w:r>
    </w:p>
    <w:p>
      <w:pPr>
        <w:pStyle w:val="null3"/>
        <w:ind w:firstLine="960"/>
      </w:pPr>
      <w:r>
        <w:rPr>
          <w:rFonts w:ascii="仿宋_GB2312" w:hAnsi="仿宋_GB2312" w:cs="仿宋_GB2312" w:eastAsia="仿宋_GB2312"/>
        </w:rPr>
        <w:t>详见附件：服务内容及要求响应偏离表.docx</w:t>
      </w:r>
    </w:p>
    <w:p>
      <w:pPr>
        <w:pStyle w:val="null3"/>
        <w:ind w:firstLine="960"/>
      </w:pPr>
      <w:r>
        <w:rPr>
          <w:rFonts w:ascii="仿宋_GB2312" w:hAnsi="仿宋_GB2312" w:cs="仿宋_GB2312" w:eastAsia="仿宋_GB2312"/>
        </w:rPr>
        <w:t>详见附件：磋商响应方案.docx</w:t>
      </w:r>
    </w:p>
    <w:p>
      <w:pPr>
        <w:pStyle w:val="null3"/>
        <w:ind w:firstLine="960"/>
      </w:pPr>
      <w:r>
        <w:rPr>
          <w:rFonts w:ascii="仿宋_GB2312" w:hAnsi="仿宋_GB2312" w:cs="仿宋_GB2312" w:eastAsia="仿宋_GB2312"/>
        </w:rPr>
        <w:t>详见附件：业绩证明材料.docx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