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版本号：ZCBN-西安市-2026-0082820260414001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书画创作交流文化服务经费项目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ZCBN-西安市-2026-00828</w:t>
      </w:r>
      <w:r>
        <w:br/>
      </w:r>
      <w:r>
        <w:br/>
      </w:r>
      <w:r>
        <w:br/>
      </w:r>
    </w:p>
    <w:p>
      <w:pPr>
        <w:pStyle w:val="null3"/>
        <w:jc w:val="center"/>
        <w:outlineLvl w:val="2"/>
      </w:pPr>
      <w:r>
        <w:rPr>
          <w:rFonts w:ascii="仿宋_GB2312" w:hAnsi="仿宋_GB2312" w:cs="仿宋_GB2312" w:eastAsia="仿宋_GB2312"/>
          <w:sz w:val="28"/>
          <w:b/>
        </w:rPr>
        <w:t>西安中国画院</w:t>
      </w:r>
    </w:p>
    <w:p>
      <w:pPr>
        <w:pStyle w:val="null3"/>
        <w:jc w:val="center"/>
        <w:outlineLvl w:val="2"/>
      </w:pPr>
      <w:r>
        <w:rPr>
          <w:rFonts w:ascii="仿宋_GB2312" w:hAnsi="仿宋_GB2312" w:cs="仿宋_GB2312" w:eastAsia="仿宋_GB2312"/>
          <w:sz w:val="28"/>
          <w:b/>
        </w:rPr>
        <w:t>陕西嘉悦晟禾工程咨询有限公司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陕西嘉悦晟禾工程咨询有限公司</w:t>
      </w:r>
      <w:r>
        <w:rPr>
          <w:rFonts w:ascii="仿宋_GB2312" w:hAnsi="仿宋_GB2312" w:cs="仿宋_GB2312" w:eastAsia="仿宋_GB2312"/>
        </w:rPr>
        <w:t>（以下简称“代理机构”）受</w:t>
      </w:r>
      <w:r>
        <w:rPr>
          <w:rFonts w:ascii="仿宋_GB2312" w:hAnsi="仿宋_GB2312" w:cs="仿宋_GB2312" w:eastAsia="仿宋_GB2312"/>
        </w:rPr>
        <w:t>西安中国画院</w:t>
      </w:r>
      <w:r>
        <w:rPr>
          <w:rFonts w:ascii="仿宋_GB2312" w:hAnsi="仿宋_GB2312" w:cs="仿宋_GB2312" w:eastAsia="仿宋_GB2312"/>
        </w:rPr>
        <w:t>委托，拟对</w:t>
      </w:r>
      <w:r>
        <w:rPr>
          <w:rFonts w:ascii="仿宋_GB2312" w:hAnsi="仿宋_GB2312" w:cs="仿宋_GB2312" w:eastAsia="仿宋_GB2312"/>
        </w:rPr>
        <w:t>书画创作交流文化服务经费项目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ZCBN-西安市-2026-00828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书画创作交流文化服务经费项目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通过写生采风、艺术交流、专家辅导等形式，组织我院画家开展精品创作、书画下乡，提供公共服务；同时保障我院艺术交流中心及展厅正常运行。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采购包1（书画创作交流文化服务经费项目）：属于专门面向小微企业采购。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1、营业执照：具有独立承担民事责任能力的法人、其他组织或自然人，并出具合法有效的营业执照等国家规定的相关证明，自然人参与的提供其身份证明（提供复印件加盖公章）</w:t>
      </w:r>
    </w:p>
    <w:p>
      <w:pPr>
        <w:pStyle w:val="null3"/>
      </w:pPr>
      <w:r>
        <w:rPr>
          <w:rFonts w:ascii="仿宋_GB2312" w:hAnsi="仿宋_GB2312" w:cs="仿宋_GB2312" w:eastAsia="仿宋_GB2312"/>
        </w:rPr>
        <w:t>2、投标代表资格：供应商应授权合法的人员参加采购活动全过程，其中法定代表人直接参加磋商的，须出具法定代表人身份证扫描件，并与营业执照上信息一致；法定代表人授权代表参加磋商的，须出具法定代表人授权书及授权代表身份证扫描件；</w:t>
      </w:r>
    </w:p>
    <w:p>
      <w:pPr>
        <w:pStyle w:val="null3"/>
      </w:pPr>
      <w:r>
        <w:rPr>
          <w:rFonts w:ascii="仿宋_GB2312" w:hAnsi="仿宋_GB2312" w:cs="仿宋_GB2312" w:eastAsia="仿宋_GB2312"/>
        </w:rPr>
        <w:t>3、财务报告：提供2024年度或2025年度经审计的财务报告（至少包括资产负债表和利润表，成立时间至提交磋商响应文件递交截止时间不足一年的可提供成立后任意时段的资产负债表），或其基本存款账户开户银行出具的资信证明（附开户许可证或开户备案证明）；</w:t>
      </w:r>
    </w:p>
    <w:p>
      <w:pPr>
        <w:pStyle w:val="null3"/>
      </w:pPr>
      <w:r>
        <w:rPr>
          <w:rFonts w:ascii="仿宋_GB2312" w:hAnsi="仿宋_GB2312" w:cs="仿宋_GB2312" w:eastAsia="仿宋_GB2312"/>
        </w:rPr>
        <w:t>4、税收缴纳证明：：提供磋商前一年内已缴纳的至少一个月的纳税证明或完税证明（任意税种），依法免税的单位应提供相关证明材料；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6、没有重大违法记录书面声明：参加政府采购活动近三年内，在经营活动中没有重大违法记录书面声明（加盖公章）；</w:t>
      </w:r>
    </w:p>
    <w:p>
      <w:pPr>
        <w:pStyle w:val="null3"/>
      </w:pPr>
      <w:r>
        <w:rPr>
          <w:rFonts w:ascii="仿宋_GB2312" w:hAnsi="仿宋_GB2312" w:cs="仿宋_GB2312" w:eastAsia="仿宋_GB2312"/>
        </w:rPr>
        <w:t>7、信誉：供应商不得为“信用中国”网站（www.creditchina.gov.cn）中列入严重失信主体名单，供应商不得为“中国执行信息公开网”（http://zxgk.court.gov.cn/shixin/） 中列入严重失信被执行人，供应商不得为政府采购严重违法失信行为记录名单的供应商，（提供查询结果网页截图，代理机构工作人员在现场复核）；</w:t>
      </w:r>
    </w:p>
    <w:p>
      <w:pPr>
        <w:pStyle w:val="null3"/>
      </w:pPr>
      <w:r>
        <w:rPr>
          <w:rFonts w:ascii="仿宋_GB2312" w:hAnsi="仿宋_GB2312" w:cs="仿宋_GB2312" w:eastAsia="仿宋_GB2312"/>
        </w:rPr>
        <w:t>8、控股管理关系：单位负责人为同一人或者存在直接控股、管理关系的供应商，不得参加同一合同下的政府采购活动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西安中国画院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含光路南段14号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陕西嘉悦晟禾工程咨询有限公司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陕西省咸阳市高新技术产业开发区咸平路与香柏路交叉口西南角高新公园里16号楼二单元 502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15389350626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代理服务费收费标准：参照关于《招标代理服务收费管理暂行办法》（计价格[2002]1980号）和《关于招标代理服务收费有关问题的通知》（发改办价格[2003]857 号）的规定标准下浮30%收取，按照中标金额差额累进法计算。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西安中国画院</w:t>
      </w:r>
      <w:r>
        <w:rPr>
          <w:rFonts w:ascii="仿宋_GB2312" w:hAnsi="仿宋_GB2312" w:cs="仿宋_GB2312" w:eastAsia="仿宋_GB2312"/>
        </w:rPr>
        <w:t>和</w:t>
      </w:r>
      <w:r>
        <w:rPr>
          <w:rFonts w:ascii="仿宋_GB2312" w:hAnsi="仿宋_GB2312" w:cs="仿宋_GB2312" w:eastAsia="仿宋_GB2312"/>
        </w:rPr>
        <w:t>陕西嘉悦晟禾工程咨询有限公司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西安中国画院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陕西嘉悦晟禾工程咨询有限公司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西安中国画院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陕西嘉悦晟禾工程咨询有限公司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陕西嘉悦晟禾工程咨询有限公司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陕西嘉悦晟禾工程咨询有限公司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陕西嘉悦晟禾工程咨询有限公司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联系人：高金丹</w:t>
      </w:r>
    </w:p>
    <w:p>
      <w:pPr>
        <w:pStyle w:val="null3"/>
      </w:pPr>
      <w:r>
        <w:rPr>
          <w:rFonts w:ascii="仿宋_GB2312" w:hAnsi="仿宋_GB2312" w:cs="仿宋_GB2312" w:eastAsia="仿宋_GB2312"/>
        </w:rPr>
        <w:t>联系电话：15389350626</w:t>
      </w:r>
    </w:p>
    <w:p>
      <w:pPr>
        <w:pStyle w:val="null3"/>
      </w:pPr>
      <w:r>
        <w:rPr>
          <w:rFonts w:ascii="仿宋_GB2312" w:hAnsi="仿宋_GB2312" w:cs="仿宋_GB2312" w:eastAsia="仿宋_GB2312"/>
        </w:rPr>
        <w:t>地址：陕西省咸阳市高新技术产业开发区咸平路与香柏路交叉口西南角高新公园里16号楼二单元 502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通过写生采风、艺术交流、专家辅导等形式，组织我院画家开展精品创作、书画下乡，提供公共服务；同时保障我院艺术交流中心及展厅正常运行。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书画创作交流文化服务经费项目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标的名称：书画创作交流文化服务经费项目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书画创作交流文化服务经费项目</w:t>
            </w:r>
          </w:p>
          <w:p>
            <w:pPr>
              <w:pStyle w:val="null3"/>
              <w:jc w:val="center"/>
            </w:pPr>
            <w:r>
              <w:rPr>
                <w:rFonts w:ascii="仿宋_GB2312" w:hAnsi="仿宋_GB2312" w:cs="仿宋_GB2312" w:eastAsia="仿宋_GB2312"/>
                <w:sz w:val="21"/>
                <w:b/>
              </w:rPr>
              <w:t>采购内容</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b/>
              </w:rPr>
              <w:t>项目名称</w:t>
            </w:r>
            <w:r>
              <w:rPr>
                <w:rFonts w:ascii="仿宋_GB2312" w:hAnsi="仿宋_GB2312" w:cs="仿宋_GB2312" w:eastAsia="仿宋_GB2312"/>
                <w:sz w:val="21"/>
              </w:rPr>
              <w:t>：书画创作交流文化服务经费项目</w:t>
            </w:r>
          </w:p>
          <w:p>
            <w:pPr>
              <w:pStyle w:val="null3"/>
              <w:ind w:firstLine="320"/>
              <w:jc w:val="both"/>
            </w:pPr>
            <w:r>
              <w:rPr>
                <w:rFonts w:ascii="仿宋_GB2312" w:hAnsi="仿宋_GB2312" w:cs="仿宋_GB2312" w:eastAsia="仿宋_GB2312"/>
                <w:sz w:val="21"/>
              </w:rPr>
              <w:t>二、</w:t>
            </w:r>
            <w:r>
              <w:rPr>
                <w:rFonts w:ascii="仿宋_GB2312" w:hAnsi="仿宋_GB2312" w:cs="仿宋_GB2312" w:eastAsia="仿宋_GB2312"/>
                <w:sz w:val="21"/>
                <w:b/>
              </w:rPr>
              <w:t>项目概况</w:t>
            </w:r>
          </w:p>
          <w:p>
            <w:pPr>
              <w:pStyle w:val="null3"/>
              <w:ind w:firstLine="624"/>
              <w:jc w:val="both"/>
            </w:pPr>
            <w:r>
              <w:rPr>
                <w:rFonts w:ascii="仿宋_GB2312" w:hAnsi="仿宋_GB2312" w:cs="仿宋_GB2312" w:eastAsia="仿宋_GB2312"/>
                <w:sz w:val="21"/>
              </w:rPr>
              <w:t>西安中国画院是专业从事中国画研究、创作、展览、交流于一体的公益一类事业单位。近年来，西安中国画院先后实施了“丝路文明·西安文脉”、“百年历程·红色记忆”、“黄河长安·关中新篇”、“古城菁英·长安新颜”、新丝路“双百”、“时代画卷·长安新篇”美术创作精品工程等六大工程，其中，西安市十三五重点文化项目“丝路文明·西安文脉”重大题材美术创作工程，获西安市优秀文艺创作成果奖。我们凭借六大工程的这批近400件主题性美术作品，申获国家艺术基金2次。3人作品入选第十四届全国美术作品展览，10人作品入选陕西省庆祝中华人民共和国成立七十五周年美术作品展，2人获第四届陕西美术奖（创作奖）铜奖，综合成绩排名全省前列。</w:t>
            </w:r>
          </w:p>
          <w:p>
            <w:pPr>
              <w:pStyle w:val="null3"/>
              <w:ind w:firstLine="640"/>
              <w:jc w:val="both"/>
            </w:pPr>
            <w:r>
              <w:rPr>
                <w:rFonts w:ascii="仿宋_GB2312" w:hAnsi="仿宋_GB2312" w:cs="仿宋_GB2312" w:eastAsia="仿宋_GB2312"/>
                <w:sz w:val="21"/>
              </w:rPr>
              <w:t>先后在中国美术馆、中国国家画院美术馆、炎黄艺术馆举办三次晋京大展，举办了中国大城市画院优秀作品联展暨学术西安年会、“全运风采看西安”美术作品展、“中国年·看西安”画说唐朝美展及西安文旅赴日本、澳大利亚、德国、“第二届、第三届中法论坛”等海外文化推广互动活动20余项次，编撰出版《西安美术史》，多次荣获由省文联、省美协，市委市政府颁发的“先进集体”称号。</w:t>
            </w:r>
          </w:p>
          <w:p>
            <w:pPr>
              <w:pStyle w:val="null3"/>
              <w:ind w:firstLine="640"/>
              <w:jc w:val="both"/>
            </w:pPr>
            <w:r>
              <w:rPr>
                <w:rFonts w:ascii="仿宋_GB2312" w:hAnsi="仿宋_GB2312" w:cs="仿宋_GB2312" w:eastAsia="仿宋_GB2312"/>
                <w:sz w:val="21"/>
              </w:rPr>
              <w:t>为深入贯彻总书记关于文艺文化工作重要论述精神，深入贯彻总书记来陕视察重要讲话提出的追赶超越定位和“五个扎实”要求，扎实加强文化建设。我院坚持以人民为中心的创作导向，继续开展好艺术创作，促进艺术繁荣。做好书画艺术创作、研究交流及文化服务工作。</w:t>
            </w:r>
          </w:p>
          <w:p>
            <w:pPr>
              <w:pStyle w:val="null3"/>
              <w:ind w:firstLine="624"/>
              <w:jc w:val="both"/>
            </w:pPr>
            <w:r>
              <w:rPr>
                <w:rFonts w:ascii="仿宋_GB2312" w:hAnsi="仿宋_GB2312" w:cs="仿宋_GB2312" w:eastAsia="仿宋_GB2312"/>
                <w:sz w:val="21"/>
              </w:rPr>
              <w:t>书画创作交流文化服务经费项目主要为保障我院各项工作正常开展，保障单位正常运行需要。主要内容为通过写生采风、艺术交流、专家辅导等形式，组织我院画家开展精品创作、书画下乡，提供公共服务；同时保障我院艺术交流中心及展厅正常运行。2026年组织书画艺术创作、文化惠民2次以上，采风写生2-3次，艺术交流2次以上，举办线下展览2次、线上展览2次。</w:t>
            </w:r>
          </w:p>
          <w:p>
            <w:pPr>
              <w:pStyle w:val="null3"/>
              <w:jc w:val="both"/>
            </w:pPr>
            <w:r>
              <w:rPr>
                <w:rFonts w:ascii="仿宋_GB2312" w:hAnsi="仿宋_GB2312" w:cs="仿宋_GB2312" w:eastAsia="仿宋_GB2312"/>
                <w:sz w:val="21"/>
                <w:b/>
              </w:rPr>
              <w:t>三、项目总体目标</w:t>
            </w:r>
          </w:p>
          <w:p>
            <w:pPr>
              <w:pStyle w:val="null3"/>
              <w:ind w:firstLine="800"/>
              <w:jc w:val="left"/>
            </w:pPr>
            <w:r>
              <w:rPr>
                <w:rFonts w:ascii="仿宋_GB2312" w:hAnsi="仿宋_GB2312" w:cs="仿宋_GB2312" w:eastAsia="仿宋_GB2312"/>
                <w:sz w:val="21"/>
              </w:rPr>
              <w:t>通过写生采风、艺术交流、专家辅导等形式，组织我院画家开展精品创作、书画下乡，提供公共服务；同时保障我院艺术交流中心及展厅正常运行。2026年拟组织书画艺术创作、文化惠民2次以上，采风写生2-3次、艺术交流2次以上、线下展览2次、线上展览2次。</w:t>
            </w:r>
          </w:p>
          <w:p>
            <w:pPr>
              <w:pStyle w:val="null3"/>
              <w:jc w:val="both"/>
            </w:pPr>
            <w:r>
              <w:rPr>
                <w:rFonts w:ascii="仿宋_GB2312" w:hAnsi="仿宋_GB2312" w:cs="仿宋_GB2312" w:eastAsia="仿宋_GB2312"/>
                <w:sz w:val="21"/>
                <w:b/>
              </w:rPr>
              <w:t>四、项目具体内容：</w:t>
            </w:r>
          </w:p>
          <w:p>
            <w:pPr>
              <w:pStyle w:val="null3"/>
              <w:ind w:firstLine="800"/>
              <w:jc w:val="left"/>
            </w:pPr>
            <w:r>
              <w:rPr>
                <w:rFonts w:ascii="仿宋_GB2312" w:hAnsi="仿宋_GB2312" w:cs="仿宋_GB2312" w:eastAsia="仿宋_GB2312"/>
                <w:sz w:val="21"/>
              </w:rPr>
              <w:t>通过写生采风、艺术交流、专家辅导等形式，组织我院画家开展精品创作、书画下乡，提供公共服务；同时保障我院艺术交流中心及展厅正常运行。</w:t>
            </w:r>
          </w:p>
          <w:p>
            <w:pPr>
              <w:pStyle w:val="null3"/>
              <w:ind w:firstLine="800"/>
              <w:jc w:val="left"/>
            </w:pPr>
            <w:r>
              <w:rPr>
                <w:rFonts w:ascii="仿宋_GB2312" w:hAnsi="仿宋_GB2312" w:cs="仿宋_GB2312" w:eastAsia="仿宋_GB2312"/>
                <w:sz w:val="21"/>
              </w:rPr>
              <w:t>1.艺术交流中心运营：包括展陈服务、作品安保、藏品观摩等，确保艺术交流中心的正常运行，为艺术家提供交流和创作的良好环境；</w:t>
            </w:r>
          </w:p>
          <w:p>
            <w:pPr>
              <w:pStyle w:val="null3"/>
              <w:ind w:firstLine="800"/>
              <w:jc w:val="left"/>
            </w:pPr>
            <w:r>
              <w:rPr>
                <w:rFonts w:ascii="仿宋_GB2312" w:hAnsi="仿宋_GB2312" w:cs="仿宋_GB2312" w:eastAsia="仿宋_GB2312"/>
                <w:sz w:val="21"/>
              </w:rPr>
              <w:t>2.书画展厅运营：包括画院2楼、3楼美术馆展陈服务、安保、公共教育、作品日常养护等；</w:t>
            </w:r>
          </w:p>
          <w:p>
            <w:pPr>
              <w:pStyle w:val="null3"/>
              <w:ind w:firstLine="800"/>
              <w:jc w:val="left"/>
            </w:pPr>
            <w:r>
              <w:rPr>
                <w:rFonts w:ascii="仿宋_GB2312" w:hAnsi="仿宋_GB2312" w:cs="仿宋_GB2312" w:eastAsia="仿宋_GB2312"/>
                <w:sz w:val="21"/>
              </w:rPr>
              <w:t>3.采风写生：组织2-3次采风写生活动，计划前往甘肃白水、山西太原、河南郑州及秦岭沿线写生，每次写生时间为2-7天；</w:t>
            </w:r>
          </w:p>
          <w:p>
            <w:pPr>
              <w:pStyle w:val="null3"/>
              <w:ind w:firstLine="800"/>
              <w:jc w:val="left"/>
            </w:pPr>
            <w:r>
              <w:rPr>
                <w:rFonts w:ascii="仿宋_GB2312" w:hAnsi="仿宋_GB2312" w:cs="仿宋_GB2312" w:eastAsia="仿宋_GB2312"/>
                <w:sz w:val="21"/>
              </w:rPr>
              <w:t>4.开展文化惠民活动：拟开展文化惠民活动2次以上，义写春联400幅以上，以及赠送书画作品；</w:t>
            </w:r>
          </w:p>
          <w:p>
            <w:pPr>
              <w:pStyle w:val="null3"/>
              <w:ind w:firstLine="800"/>
              <w:jc w:val="left"/>
            </w:pPr>
            <w:r>
              <w:rPr>
                <w:rFonts w:ascii="仿宋_GB2312" w:hAnsi="仿宋_GB2312" w:cs="仿宋_GB2312" w:eastAsia="仿宋_GB2312"/>
                <w:sz w:val="21"/>
              </w:rPr>
              <w:t>5.展览：计划举办线下展览2次，计划上下半年各举办1次，每次展出作品80幅以上，展览时间15-30天，涵盖展览策划、布置等；</w:t>
            </w:r>
          </w:p>
          <w:p>
            <w:pPr>
              <w:pStyle w:val="null3"/>
              <w:ind w:firstLine="800"/>
              <w:jc w:val="left"/>
            </w:pPr>
            <w:r>
              <w:rPr>
                <w:rFonts w:ascii="仿宋_GB2312" w:hAnsi="仿宋_GB2312" w:cs="仿宋_GB2312" w:eastAsia="仿宋_GB2312"/>
                <w:sz w:val="21"/>
              </w:rPr>
              <w:t>6.艺术交流：用于全国画院院际等学术交流；</w:t>
            </w:r>
          </w:p>
          <w:p>
            <w:pPr>
              <w:pStyle w:val="null3"/>
              <w:ind w:firstLine="800"/>
              <w:jc w:val="left"/>
            </w:pPr>
            <w:r>
              <w:rPr>
                <w:rFonts w:ascii="仿宋_GB2312" w:hAnsi="仿宋_GB2312" w:cs="仿宋_GB2312" w:eastAsia="仿宋_GB2312"/>
                <w:sz w:val="21"/>
              </w:rPr>
              <w:t>7.宣传：用于微信公众号、院刊、媒体宣传等稿费、编辑费、设计等。</w:t>
            </w:r>
          </w:p>
          <w:p>
            <w:pPr>
              <w:pStyle w:val="null3"/>
              <w:ind w:firstLine="800"/>
              <w:jc w:val="left"/>
            </w:pPr>
            <w:r>
              <w:rPr>
                <w:rFonts w:ascii="仿宋_GB2312" w:hAnsi="仿宋_GB2312" w:cs="仿宋_GB2312" w:eastAsia="仿宋_GB2312"/>
                <w:sz w:val="21"/>
              </w:rPr>
              <w:t xml:space="preserve">附件：  采购明细清单                           </w:t>
            </w:r>
          </w:p>
          <w:p>
            <w:pPr>
              <w:pStyle w:val="null3"/>
              <w:jc w:val="both"/>
            </w:pP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594"/>
              <w:gridCol w:w="1478"/>
              <w:gridCol w:w="814"/>
              <w:gridCol w:w="941"/>
              <w:gridCol w:w="1263"/>
            </w:tblGrid>
            <w:tr>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项目内容</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单项金额（元）</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艺术交流中心运营</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229600.00</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.书画展厅运营</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385400.00</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写生采风</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50000.00</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开展文化惠民活动</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35000.00</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展览</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90000.00</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艺术交流</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40000.00</w:t>
                  </w:r>
                </w:p>
              </w:tc>
            </w:tr>
            <w:tr>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120000.00</w:t>
                  </w:r>
                </w:p>
              </w:tc>
            </w:tr>
          </w:tbl>
          <w:p>
            <w:pPr>
              <w:pStyle w:val="null3"/>
              <w:jc w:val="both"/>
            </w:pPr>
            <w:r>
              <w:rPr>
                <w:rFonts w:ascii="仿宋_GB2312" w:hAnsi="仿宋_GB2312" w:cs="仿宋_GB2312" w:eastAsia="仿宋_GB2312"/>
                <w:sz w:val="21"/>
              </w:rPr>
              <w:t xml:space="preserve">                      </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从合同签订之日起至本项目结束，具体时间以采购人安排为准。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以采购人安排为准。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验收结束后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具有独立承担民事责任能力的法人、其他组织或自然人，并出具合法有效的营业执照等国家规定的相关证明，自然人参与的提供其身份证明（提供复印件加盖公章）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投标代表资格</w:t>
            </w:r>
          </w:p>
        </w:tc>
        <w:tc>
          <w:tcPr>
            <w:tcW w:type="dxa" w:w="3322"/>
          </w:tcPr>
          <w:p>
            <w:pPr>
              <w:pStyle w:val="null3"/>
            </w:pPr>
            <w:r>
              <w:rPr>
                <w:rFonts w:ascii="仿宋_GB2312" w:hAnsi="仿宋_GB2312" w:cs="仿宋_GB2312" w:eastAsia="仿宋_GB2312"/>
              </w:rPr>
              <w:t>供应商应授权合法的人员参加采购活动全过程，其中法定代表人直接参加磋商的，须出具法定代表人身份证扫描件，并与营业执照上信息一致；法定代表人授权代表参加磋商的，须出具法定代表人授权书及授权代表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至少包括资产负债表和利润表，成立时间至提交磋商响应文件递交截止时间不足一年的可提供成立后任意时段的资产负债表），或其基本存款账户开户银行出具的资信证明（附开户许可证或开户备案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参加政府采购活动近三年内，在经营活动中没有重大违法记录书面声明（加盖公章）；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供应商不得为“信用中国”网站（www.creditchina.gov.cn）中列入严重失信主体名单，供应商不得为“中国执行信息公开网”（http://zxgk.court.gov.cn/shixin/） 中列入严重失信被执行人，供应商不得为政府采购严重违法失信行为记录名单的供应商，（提供查询结果网页截图，代理机构工作人员在现场复核）；</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完全响应磋商文件技术条款响应表。</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根据对项目需求的理解程度、认识程度、了解程度和拟定成果目标对采购要求的符合程度进行评价； 1.对项目需求、现状的认识全面、清晰、完全满足采购需求的得10分； 2.对项目需求、现状的认识较全面、较清晰、基本满足采购需求的得8分； 3.对项目需求、现状的认识一般、基本满足采购需求的得6分； 4.对项目需求、现状的认识欠缺、薄弱、偏离采购需求的得4分； 5完全欠缺项目需求、现状的、不满足采购需求的得2分；未提供不得分。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策划组织</w:t>
            </w:r>
          </w:p>
        </w:tc>
        <w:tc>
          <w:tcPr>
            <w:tcW w:type="dxa" w:w="2492"/>
          </w:tcPr>
          <w:p>
            <w:pPr>
              <w:pStyle w:val="null3"/>
            </w:pPr>
            <w:r>
              <w:rPr>
                <w:rFonts w:ascii="仿宋_GB2312" w:hAnsi="仿宋_GB2312" w:cs="仿宋_GB2312" w:eastAsia="仿宋_GB2312"/>
              </w:rPr>
              <w:t>供应商提供针对本项目提供整体策划方案，综合考虑方案对采购需求的响应程度。 1.方案完整度高、针对性极强、统筹能力强、可执行性强、方案考虑全面得10分； 2.方案完整度较高、针对性较强、统筹能力较强、可执行性较强、方案考虑较全面得8分； 3.方案完整度一般、策划能力一般、针对性一般、执行性一般、方案考虑一般得6分； 4.方案完整度较差、不具有策划能力、无针对性得4分； 5.方案完整度差、不具有策划能力、无针对性、不满足采购要求得2分；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w:t>
            </w:r>
          </w:p>
        </w:tc>
        <w:tc>
          <w:tcPr>
            <w:tcW w:type="dxa" w:w="2492"/>
          </w:tcPr>
          <w:p>
            <w:pPr>
              <w:pStyle w:val="null3"/>
            </w:pPr>
            <w:r>
              <w:rPr>
                <w:rFonts w:ascii="仿宋_GB2312" w:hAnsi="仿宋_GB2312" w:cs="仿宋_GB2312" w:eastAsia="仿宋_GB2312"/>
              </w:rPr>
              <w:t>供应商针对本项目宣传推广的方案： 1.宣传方案完整性、合理性和可操作性强、有具体流程且合理性强得10分； 2.宣传方案有较强的完整性、合理性和可操作性、有具体流程且合理性较强得8分； 3.宣传完整性、合理性和可操作性较一般得6分； 4.有宣传方案,但不完整，合理性和可操作性较差得4分； 5.方案不完整，不满足项目需求计2分； 未提供宣传方案不得分。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供应商综合考虑工作进度安排是否合理、可行，是否满足项目需求。 1.安排完善、科学合理，各环节衔接紧凑，可执行性强，能够完全满足采购需求的得10分； 2.安排较为完善、较科学合理，各环节衔接较紧凑，可执行性较强，基本满足采购需求的得8分； 3.安排流程一般，各环节衔接紧凑，可执行性一般，基本满足采购需求的得6分； 4.工作进度安排不完整，工作内容安排不合理，不能完全满足采购需求的4分； 5.工作进度安排完全不合理，完全偏离采购需求的2分； 未提供本项内容得0分。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质量措施</w:t>
            </w:r>
          </w:p>
        </w:tc>
        <w:tc>
          <w:tcPr>
            <w:tcW w:type="dxa" w:w="2492"/>
          </w:tcPr>
          <w:p>
            <w:pPr>
              <w:pStyle w:val="null3"/>
            </w:pPr>
            <w:r>
              <w:rPr>
                <w:rFonts w:ascii="仿宋_GB2312" w:hAnsi="仿宋_GB2312" w:cs="仿宋_GB2312" w:eastAsia="仿宋_GB2312"/>
              </w:rPr>
              <w:t>供应商针对本项目质量保证的措施方案； 1.方案完善、合理、可行，得10分； 2.方案较完善、较合理、较可行，得8分； 3.方案基本合理、可行，得6分； 4.方案内容简单，基本满足项目需求计4分； 5.方案粗陋，不满足项目需求计2分；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供应商针对此项目服务期间发生的紧急突发情况，有全面具体的应急预案。 1、应急预案对各类型突发事件都有对应处理措施，内容全面详细，实用，可行性强，得10分； 2、应急预案内容对常见突发事件有对应处理措施，内容较全面实用，8分； 3、应急预案内容对常见突发事件有对应处理措施，内容基本全面实用，得6分； 4、应急预案内容对常见突发事件有对应处理措施，但内容不全面实用，得4分； 5、应急预案内容简单，不具备可行性得2分；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1.有详细的人员配置方案，有健全的组织机构及工作安排，岗位分工明确，得10分； 2.有较详细的人员配置方案，组织机构及工作安排较完善、合理，岗位分工明确，得8分； 3.有详细的人员配置方案，组织机构及工作安排基本完善、合理，岗位分工明确，得6分； 4.有详细的人员配置方案，组织机构及工作安排合理性差，岗位分工不明确，得4分； 5.有人员配置方案，组织机构及工作安排合理性差，岗位分工不明确，不满足采购需求，得2分；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供应商提供自2022年1月1日至今承担过的类似项目业绩证明文件（时间以合同协议书或中标通知书为准），每提供1个有效业绩得2.5分，最高不超过10分。 评审依据：供应商提供合同或中标通知书扫描件加盖公章附在磋商响应文件中。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1.经初审合格的响应文件，其磋商的最后报价为有效报价。 2.磋商基准价=最后的最低投标报价。 3.磋商报价得分=（磋商基准价/最终磋商报价）×20。 4.投标报价不完整的，不进入评标基准价的计算，本项得0分。注：磋商小组二分之一以上专家认为供应商的报价明显低于其他供应商的报价，可能影响服务质量或者不能诚信履约的，应当要求其在评标现场合理的时间内提供书面说明，必要时提交相关证明材料；供应商不能证明其报价合理性的，评标委员会应当将其作为无效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详见附件：书画创作交流文化服务经费项目合同.docx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