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版本号：GCCS26-00620260415001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漕运河幸福河氵皂河城市段防洪预案修编项目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GCCS26-006</w:t>
      </w:r>
      <w:r>
        <w:br/>
      </w:r>
      <w:r>
        <w:br/>
      </w:r>
      <w:r>
        <w:br/>
      </w:r>
    </w:p>
    <w:p>
      <w:pPr>
        <w:pStyle w:val="null3"/>
        <w:jc w:val="center"/>
        <w:outlineLvl w:val="2"/>
      </w:pPr>
      <w:r>
        <w:rPr>
          <w:rFonts w:ascii="仿宋_GB2312" w:hAnsi="仿宋_GB2312" w:cs="仿宋_GB2312" w:eastAsia="仿宋_GB2312"/>
          <w:sz w:val="28"/>
          <w:b/>
        </w:rPr>
        <w:t>西安市西北郊城市排洪渠道管理中心</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西安市西北郊城市排洪渠道管理中心</w:t>
      </w:r>
      <w:r>
        <w:rPr>
          <w:rFonts w:ascii="仿宋_GB2312" w:hAnsi="仿宋_GB2312" w:cs="仿宋_GB2312" w:eastAsia="仿宋_GB2312"/>
        </w:rPr>
        <w:t>委托，拟对</w:t>
      </w:r>
      <w:r>
        <w:rPr>
          <w:rFonts w:ascii="仿宋_GB2312" w:hAnsi="仿宋_GB2312" w:cs="仿宋_GB2312" w:eastAsia="仿宋_GB2312"/>
        </w:rPr>
        <w:t>漕运河幸福河氵皂河城市段防洪预案修编项目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漕运河幸福河氵皂河城市段防洪预案修编项目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服务范围包括漕运河、幸福河、氵皂河城市段河道防洪预案（含常规洪水、超标洪水、堤防险情、河道壅水等）修编、现场查勘、河道行洪能力分析、风险评估、文本编制、专家评审、报批印发等全流程技术服务。需满足的要求：符合国家、地方、行业相关合格标准，符合采购人的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1、供应商特定资格要求：供应商应具备工程设计综合甲级资质或水利行业乙级及以上资质或水利行业（城市防洪）专业乙级及以上资质。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西安市西北郊城市排洪渠道管理中心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西安市未央区北二环西段69号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029-86689953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计算不足6000元时按6000元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西安市西北郊城市排洪渠道管理中心</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西安市西北郊城市排洪渠道管理中心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西安市西北郊城市排洪渠道管理中心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本项目成果文件应该完整、符合河道防洪实际，通过专家评审并经主管部门批复后，视为履约验收合格，供应商的各项服务须完全满足本项目采购需求的全部要求。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项目服务范围包括漕运河、幸福河、氵皂河城市段河道防洪预案（含常规洪水、超标洪水、堤防险情、河道壅水等）修编、现场查勘、河道行洪能力分析、风险评估、文本编制、专家评审、报批印发等全流程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漕运河幸福河 氵皂河城市段防洪预案修编项目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标的名称：漕运河幸福河 氵皂河城市段防洪预案修编项目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w:t>
            </w:r>
          </w:p>
          <w:p>
            <w:pPr>
              <w:pStyle w:val="null3"/>
              <w:jc w:val="both"/>
            </w:pPr>
            <w:r>
              <w:rPr>
                <w:rFonts w:ascii="仿宋_GB2312" w:hAnsi="仿宋_GB2312" w:cs="仿宋_GB2312" w:eastAsia="仿宋_GB2312"/>
                <w:sz w:val="18"/>
              </w:rPr>
              <w:t>1.项目名称：漕运河幸福河 氵皂河城市段防洪预案修编项目</w:t>
            </w:r>
          </w:p>
          <w:p>
            <w:pPr>
              <w:pStyle w:val="null3"/>
              <w:jc w:val="both"/>
            </w:pPr>
            <w:r>
              <w:rPr>
                <w:rFonts w:ascii="仿宋_GB2312" w:hAnsi="仿宋_GB2312" w:cs="仿宋_GB2312" w:eastAsia="仿宋_GB2312"/>
                <w:sz w:val="18"/>
              </w:rPr>
              <w:t>2.采购单位：西安市排洪渠道管理中心</w:t>
            </w:r>
          </w:p>
          <w:p>
            <w:pPr>
              <w:pStyle w:val="null3"/>
              <w:jc w:val="both"/>
            </w:pPr>
            <w:r>
              <w:rPr>
                <w:rFonts w:ascii="仿宋_GB2312" w:hAnsi="仿宋_GB2312" w:cs="仿宋_GB2312" w:eastAsia="仿宋_GB2312"/>
                <w:sz w:val="18"/>
              </w:rPr>
              <w:t>3.项目背景：为适应河道防洪工程现状、水文情势变化、防洪调度方式及最新法律法规要求，对漕运河、幸福河、氵皂河城市段防洪预案进行全面修编，进一步提高河道洪水监测预报、防洪调度、应急响应、群众转移安置和抢险救援能力，保障河道沿线人民群众生命财产安全。</w:t>
            </w:r>
          </w:p>
          <w:p>
            <w:pPr>
              <w:pStyle w:val="null3"/>
              <w:jc w:val="both"/>
            </w:pPr>
            <w:r>
              <w:rPr>
                <w:rFonts w:ascii="仿宋_GB2312" w:hAnsi="仿宋_GB2312" w:cs="仿宋_GB2312" w:eastAsia="仿宋_GB2312"/>
                <w:sz w:val="18"/>
              </w:rPr>
              <w:t>4.服务范围：漕运河、幸福河、氵皂河城市段河道防洪预案（含常规洪水、超标洪水、堤防险情、河道壅水等）修编、现场查勘、河道行洪能力分析、风险评估、文本编制、专家评审、报批印发等全流程技术服务。</w:t>
            </w:r>
          </w:p>
          <w:p>
            <w:pPr>
              <w:pStyle w:val="null3"/>
              <w:jc w:val="both"/>
            </w:pPr>
            <w:r>
              <w:rPr>
                <w:rFonts w:ascii="仿宋_GB2312" w:hAnsi="仿宋_GB2312" w:cs="仿宋_GB2312" w:eastAsia="仿宋_GB2312"/>
                <w:sz w:val="18"/>
              </w:rPr>
              <w:t>二、采购内容及服务要求</w:t>
            </w:r>
          </w:p>
          <w:p>
            <w:pPr>
              <w:pStyle w:val="null3"/>
              <w:jc w:val="both"/>
            </w:pPr>
            <w:r>
              <w:rPr>
                <w:rFonts w:ascii="仿宋_GB2312" w:hAnsi="仿宋_GB2312" w:cs="仿宋_GB2312" w:eastAsia="仿宋_GB2312"/>
                <w:sz w:val="18"/>
              </w:rPr>
              <w:t>（一）核心服务内容</w:t>
            </w:r>
          </w:p>
          <w:p>
            <w:pPr>
              <w:pStyle w:val="null3"/>
              <w:jc w:val="both"/>
            </w:pPr>
            <w:r>
              <w:rPr>
                <w:rFonts w:ascii="仿宋_GB2312" w:hAnsi="仿宋_GB2312" w:cs="仿宋_GB2312" w:eastAsia="仿宋_GB2312"/>
                <w:sz w:val="18"/>
              </w:rPr>
              <w:t>1.基础资料收集与河道现状评估</w:t>
            </w:r>
          </w:p>
          <w:p>
            <w:pPr>
              <w:pStyle w:val="null3"/>
              <w:jc w:val="both"/>
            </w:pPr>
            <w:r>
              <w:rPr>
                <w:rFonts w:ascii="仿宋_GB2312" w:hAnsi="仿宋_GB2312" w:cs="仿宋_GB2312" w:eastAsia="仿宋_GB2312"/>
                <w:sz w:val="18"/>
              </w:rPr>
              <w:t>（1）收集河道水文、暴雨洪水、河道断面、堤防工程、穿堤建筑物、控导工程、水文站点、行洪通道等资料；</w:t>
            </w:r>
          </w:p>
          <w:p>
            <w:pPr>
              <w:pStyle w:val="null3"/>
              <w:jc w:val="both"/>
            </w:pPr>
            <w:r>
              <w:rPr>
                <w:rFonts w:ascii="仿宋_GB2312" w:hAnsi="仿宋_GB2312" w:cs="仿宋_GB2312" w:eastAsia="仿宋_GB2312"/>
                <w:sz w:val="18"/>
              </w:rPr>
              <w:t>（2）开展河道现场踏勘，核查堤防、险工险段、穿堤建筑物、阻水障碍、行洪断面等；</w:t>
            </w:r>
          </w:p>
          <w:p>
            <w:pPr>
              <w:pStyle w:val="null3"/>
              <w:jc w:val="both"/>
            </w:pPr>
            <w:r>
              <w:rPr>
                <w:rFonts w:ascii="仿宋_GB2312" w:hAnsi="仿宋_GB2312" w:cs="仿宋_GB2312" w:eastAsia="仿宋_GB2312"/>
                <w:sz w:val="18"/>
              </w:rPr>
              <w:t>（3）评估现有河道行洪能力、堤防达标情况、历史险情及现有预案适用性。</w:t>
            </w:r>
          </w:p>
          <w:p>
            <w:pPr>
              <w:pStyle w:val="null3"/>
              <w:jc w:val="both"/>
            </w:pPr>
            <w:r>
              <w:rPr>
                <w:rFonts w:ascii="仿宋_GB2312" w:hAnsi="仿宋_GB2312" w:cs="仿宋_GB2312" w:eastAsia="仿宋_GB2312"/>
                <w:sz w:val="18"/>
              </w:rPr>
              <w:t>2.河道洪水分析与风险识别</w:t>
            </w:r>
          </w:p>
          <w:p>
            <w:pPr>
              <w:pStyle w:val="null3"/>
              <w:jc w:val="both"/>
            </w:pPr>
            <w:r>
              <w:rPr>
                <w:rFonts w:ascii="仿宋_GB2312" w:hAnsi="仿宋_GB2312" w:cs="仿宋_GB2312" w:eastAsia="仿宋_GB2312"/>
                <w:sz w:val="18"/>
              </w:rPr>
              <w:t>（1）开展河道设计洪水、现状行洪能力分析、水位流量关系复核；</w:t>
            </w:r>
          </w:p>
          <w:p>
            <w:pPr>
              <w:pStyle w:val="null3"/>
              <w:jc w:val="both"/>
            </w:pPr>
            <w:r>
              <w:rPr>
                <w:rFonts w:ascii="仿宋_GB2312" w:hAnsi="仿宋_GB2312" w:cs="仿宋_GB2312" w:eastAsia="仿宋_GB2312"/>
                <w:sz w:val="18"/>
              </w:rPr>
              <w:t>（2）分析河道常遇洪水、较大洪水、超标洪水演进及淹没影响</w:t>
            </w:r>
          </w:p>
          <w:p>
            <w:pPr>
              <w:pStyle w:val="null3"/>
              <w:jc w:val="both"/>
            </w:pPr>
            <w:r>
              <w:rPr>
                <w:rFonts w:ascii="仿宋_GB2312" w:hAnsi="仿宋_GB2312" w:cs="仿宋_GB2312" w:eastAsia="仿宋_GB2312"/>
                <w:sz w:val="18"/>
              </w:rPr>
              <w:t>（3）划定河道洪水淹没范围、风险区段、危险点、重点防护对象；</w:t>
            </w:r>
          </w:p>
          <w:p>
            <w:pPr>
              <w:pStyle w:val="null3"/>
              <w:jc w:val="both"/>
            </w:pPr>
            <w:r>
              <w:rPr>
                <w:rFonts w:ascii="仿宋_GB2312" w:hAnsi="仿宋_GB2312" w:cs="仿宋_GB2312" w:eastAsia="仿宋_GB2312"/>
                <w:sz w:val="18"/>
              </w:rPr>
              <w:t>（4）明确预警水位、警戒水位、保证水位及对应防御措施。</w:t>
            </w:r>
          </w:p>
          <w:p>
            <w:pPr>
              <w:pStyle w:val="null3"/>
              <w:jc w:val="both"/>
            </w:pPr>
            <w:r>
              <w:rPr>
                <w:rFonts w:ascii="仿宋_GB2312" w:hAnsi="仿宋_GB2312" w:cs="仿宋_GB2312" w:eastAsia="仿宋_GB2312"/>
                <w:sz w:val="18"/>
              </w:rPr>
              <w:t>3.河流防洪预案文本修编</w:t>
            </w:r>
          </w:p>
          <w:p>
            <w:pPr>
              <w:pStyle w:val="null3"/>
              <w:jc w:val="both"/>
            </w:pPr>
            <w:r>
              <w:rPr>
                <w:rFonts w:ascii="仿宋_GB2312" w:hAnsi="仿宋_GB2312" w:cs="仿宋_GB2312" w:eastAsia="仿宋_GB2312"/>
                <w:sz w:val="18"/>
              </w:rPr>
              <w:t>（1）总则（编制依据、适用范围、防洪标准、河道基本情况）；</w:t>
            </w:r>
          </w:p>
          <w:p>
            <w:pPr>
              <w:pStyle w:val="null3"/>
              <w:jc w:val="both"/>
            </w:pPr>
            <w:r>
              <w:rPr>
                <w:rFonts w:ascii="仿宋_GB2312" w:hAnsi="仿宋_GB2312" w:cs="仿宋_GB2312" w:eastAsia="仿宋_GB2312"/>
                <w:sz w:val="18"/>
              </w:rPr>
              <w:t>（2）河道防洪工程现状、行洪能力分析；</w:t>
            </w:r>
          </w:p>
          <w:p>
            <w:pPr>
              <w:pStyle w:val="null3"/>
              <w:jc w:val="both"/>
            </w:pPr>
            <w:r>
              <w:rPr>
                <w:rFonts w:ascii="仿宋_GB2312" w:hAnsi="仿宋_GB2312" w:cs="仿宋_GB2312" w:eastAsia="仿宋_GB2312"/>
                <w:sz w:val="18"/>
              </w:rPr>
              <w:t>（3）洪水风险评估、危险区段、重点防护对象；</w:t>
            </w:r>
          </w:p>
          <w:p>
            <w:pPr>
              <w:pStyle w:val="null3"/>
              <w:jc w:val="both"/>
            </w:pPr>
            <w:r>
              <w:rPr>
                <w:rFonts w:ascii="仿宋_GB2312" w:hAnsi="仿宋_GB2312" w:cs="仿宋_GB2312" w:eastAsia="仿宋_GB2312"/>
                <w:sz w:val="18"/>
              </w:rPr>
              <w:t>（4）防汛组织指挥体系及责任分工；</w:t>
            </w:r>
          </w:p>
          <w:p>
            <w:pPr>
              <w:pStyle w:val="null3"/>
              <w:jc w:val="both"/>
            </w:pPr>
            <w:r>
              <w:rPr>
                <w:rFonts w:ascii="仿宋_GB2312" w:hAnsi="仿宋_GB2312" w:cs="仿宋_GB2312" w:eastAsia="仿宋_GB2312"/>
                <w:sz w:val="18"/>
              </w:rPr>
              <w:t>（5）洪水监测、预报、预警、信息报送；</w:t>
            </w:r>
          </w:p>
          <w:p>
            <w:pPr>
              <w:pStyle w:val="null3"/>
              <w:jc w:val="both"/>
            </w:pPr>
            <w:r>
              <w:rPr>
                <w:rFonts w:ascii="仿宋_GB2312" w:hAnsi="仿宋_GB2312" w:cs="仿宋_GB2312" w:eastAsia="仿宋_GB2312"/>
                <w:sz w:val="18"/>
              </w:rPr>
              <w:t>（6）堤防巡查、险情监测、险情报告制度；</w:t>
            </w:r>
          </w:p>
          <w:p>
            <w:pPr>
              <w:pStyle w:val="null3"/>
              <w:jc w:val="both"/>
            </w:pPr>
            <w:r>
              <w:rPr>
                <w:rFonts w:ascii="仿宋_GB2312" w:hAnsi="仿宋_GB2312" w:cs="仿宋_GB2312" w:eastAsia="仿宋_GB2312"/>
                <w:sz w:val="18"/>
              </w:rPr>
              <w:t>（7）堤防抢险、河道控导、穿堤建筑物应急处置；</w:t>
            </w:r>
          </w:p>
          <w:p>
            <w:pPr>
              <w:pStyle w:val="null3"/>
              <w:jc w:val="both"/>
            </w:pPr>
            <w:r>
              <w:rPr>
                <w:rFonts w:ascii="仿宋_GB2312" w:hAnsi="仿宋_GB2312" w:cs="仿宋_GB2312" w:eastAsia="仿宋_GB2312"/>
                <w:sz w:val="18"/>
              </w:rPr>
              <w:t>（8）人员转移安置、抢险队伍、物资调度；</w:t>
            </w:r>
          </w:p>
          <w:p>
            <w:pPr>
              <w:pStyle w:val="null3"/>
              <w:jc w:val="both"/>
            </w:pPr>
            <w:r>
              <w:rPr>
                <w:rFonts w:ascii="仿宋_GB2312" w:hAnsi="仿宋_GB2312" w:cs="仿宋_GB2312" w:eastAsia="仿宋_GB2312"/>
                <w:sz w:val="18"/>
              </w:rPr>
              <w:t>（9）河道防洪工程调度（闸坝、分洪、泄洪等）；</w:t>
            </w:r>
          </w:p>
          <w:p>
            <w:pPr>
              <w:pStyle w:val="null3"/>
              <w:jc w:val="both"/>
            </w:pPr>
            <w:r>
              <w:rPr>
                <w:rFonts w:ascii="仿宋_GB2312" w:hAnsi="仿宋_GB2312" w:cs="仿宋_GB2312" w:eastAsia="仿宋_GB2312"/>
                <w:sz w:val="18"/>
              </w:rPr>
              <w:t>（10）应急响应启动条件、响应措施、响应终止；</w:t>
            </w:r>
          </w:p>
          <w:p>
            <w:pPr>
              <w:pStyle w:val="null3"/>
              <w:jc w:val="both"/>
            </w:pPr>
            <w:r>
              <w:rPr>
                <w:rFonts w:ascii="仿宋_GB2312" w:hAnsi="仿宋_GB2312" w:cs="仿宋_GB2312" w:eastAsia="仿宋_GB2312"/>
                <w:sz w:val="18"/>
              </w:rPr>
              <w:t>（11）应急保障、后期处置、预案管理；</w:t>
            </w:r>
          </w:p>
          <w:p>
            <w:pPr>
              <w:pStyle w:val="null3"/>
              <w:jc w:val="both"/>
            </w:pPr>
            <w:r>
              <w:rPr>
                <w:rFonts w:ascii="仿宋_GB2312" w:hAnsi="仿宋_GB2312" w:cs="仿宋_GB2312" w:eastAsia="仿宋_GB2312"/>
                <w:sz w:val="18"/>
              </w:rPr>
              <w:t>（12）附图附表（河道形势图、风险图、转移路线图、责任表等）。</w:t>
            </w:r>
          </w:p>
          <w:p>
            <w:pPr>
              <w:pStyle w:val="null3"/>
              <w:jc w:val="both"/>
            </w:pPr>
            <w:r>
              <w:rPr>
                <w:rFonts w:ascii="仿宋_GB2312" w:hAnsi="仿宋_GB2312" w:cs="仿宋_GB2312" w:eastAsia="仿宋_GB2312"/>
                <w:sz w:val="18"/>
              </w:rPr>
              <w:t>4.评审、修改与报批</w:t>
            </w:r>
          </w:p>
          <w:p>
            <w:pPr>
              <w:pStyle w:val="null3"/>
              <w:jc w:val="both"/>
            </w:pPr>
            <w:r>
              <w:rPr>
                <w:rFonts w:ascii="仿宋_GB2312" w:hAnsi="仿宋_GB2312" w:cs="仿宋_GB2312" w:eastAsia="仿宋_GB2312"/>
                <w:sz w:val="18"/>
              </w:rPr>
              <w:t>（1）组织专家评审；</w:t>
            </w:r>
          </w:p>
          <w:p>
            <w:pPr>
              <w:pStyle w:val="null3"/>
              <w:jc w:val="both"/>
            </w:pPr>
            <w:r>
              <w:rPr>
                <w:rFonts w:ascii="仿宋_GB2312" w:hAnsi="仿宋_GB2312" w:cs="仿宋_GB2312" w:eastAsia="仿宋_GB2312"/>
                <w:sz w:val="18"/>
              </w:rPr>
              <w:t>（2）根据评审意见完成修改并形成报批稿；</w:t>
            </w:r>
          </w:p>
          <w:p>
            <w:pPr>
              <w:pStyle w:val="null3"/>
              <w:jc w:val="both"/>
            </w:pPr>
            <w:r>
              <w:rPr>
                <w:rFonts w:ascii="仿宋_GB2312" w:hAnsi="仿宋_GB2312" w:cs="仿宋_GB2312" w:eastAsia="仿宋_GB2312"/>
                <w:sz w:val="18"/>
              </w:rPr>
              <w:t>（3）配合采购单位完成审批、印发、备案。</w:t>
            </w:r>
          </w:p>
          <w:p>
            <w:pPr>
              <w:pStyle w:val="null3"/>
              <w:jc w:val="both"/>
            </w:pPr>
            <w:r>
              <w:rPr>
                <w:rFonts w:ascii="仿宋_GB2312" w:hAnsi="仿宋_GB2312" w:cs="仿宋_GB2312" w:eastAsia="仿宋_GB2312"/>
                <w:sz w:val="18"/>
              </w:rPr>
              <w:t>（二）技术标准</w:t>
            </w:r>
          </w:p>
          <w:p>
            <w:pPr>
              <w:pStyle w:val="null3"/>
              <w:jc w:val="both"/>
            </w:pPr>
            <w:r>
              <w:rPr>
                <w:rFonts w:ascii="仿宋_GB2312" w:hAnsi="仿宋_GB2312" w:cs="仿宋_GB2312" w:eastAsia="仿宋_GB2312"/>
                <w:sz w:val="18"/>
              </w:rPr>
              <w:t>1.符合《中华人民共和国防洪法》《中华人民共和国河道管理条例》；</w:t>
            </w:r>
          </w:p>
          <w:p>
            <w:pPr>
              <w:pStyle w:val="null3"/>
              <w:jc w:val="both"/>
            </w:pPr>
            <w:r>
              <w:rPr>
                <w:rFonts w:ascii="仿宋_GB2312" w:hAnsi="仿宋_GB2312" w:cs="仿宋_GB2312" w:eastAsia="仿宋_GB2312"/>
                <w:sz w:val="18"/>
              </w:rPr>
              <w:t>2.符合《流域防洪预案编制导则》《防汛应急预案编制导则》；</w:t>
            </w:r>
          </w:p>
          <w:p>
            <w:pPr>
              <w:pStyle w:val="null3"/>
              <w:jc w:val="both"/>
            </w:pPr>
            <w:r>
              <w:rPr>
                <w:rFonts w:ascii="仿宋_GB2312" w:hAnsi="仿宋_GB2312" w:cs="仿宋_GB2312" w:eastAsia="仿宋_GB2312"/>
                <w:sz w:val="18"/>
              </w:rPr>
              <w:t>3.符合上级河流防洪规划、河道整治规划、洪水调度方案；</w:t>
            </w:r>
          </w:p>
          <w:p>
            <w:pPr>
              <w:pStyle w:val="null3"/>
              <w:jc w:val="both"/>
            </w:pPr>
            <w:r>
              <w:rPr>
                <w:rFonts w:ascii="仿宋_GB2312" w:hAnsi="仿宋_GB2312" w:cs="仿宋_GB2312" w:eastAsia="仿宋_GB2312"/>
                <w:sz w:val="18"/>
              </w:rPr>
              <w:t>4.成果满足河道防洪实战化、可操作、可执行要求。</w:t>
            </w:r>
          </w:p>
          <w:p>
            <w:pPr>
              <w:pStyle w:val="null3"/>
              <w:jc w:val="both"/>
            </w:pPr>
            <w:r>
              <w:rPr>
                <w:rFonts w:ascii="仿宋_GB2312" w:hAnsi="仿宋_GB2312" w:cs="仿宋_GB2312" w:eastAsia="仿宋_GB2312"/>
                <w:sz w:val="18"/>
              </w:rPr>
              <w:t>（三）成果要求</w:t>
            </w:r>
          </w:p>
          <w:p>
            <w:pPr>
              <w:pStyle w:val="null3"/>
              <w:jc w:val="both"/>
            </w:pPr>
            <w:r>
              <w:rPr>
                <w:rFonts w:ascii="仿宋_GB2312" w:hAnsi="仿宋_GB2312" w:cs="仿宋_GB2312" w:eastAsia="仿宋_GB2312"/>
                <w:sz w:val="18"/>
              </w:rPr>
              <w:t>1.文本成果：《漕运河幸福河氵皂河城市段防洪预案（修编）》送审稿、报批稿、正式稿各8-10份，专家评审意见等。</w:t>
            </w:r>
          </w:p>
          <w:p>
            <w:pPr>
              <w:pStyle w:val="null3"/>
              <w:jc w:val="both"/>
            </w:pPr>
            <w:r>
              <w:rPr>
                <w:rFonts w:ascii="仿宋_GB2312" w:hAnsi="仿宋_GB2312" w:cs="仿宋_GB2312" w:eastAsia="仿宋_GB2312"/>
                <w:sz w:val="18"/>
              </w:rPr>
              <w:t>2.电子成果：Word、PDF 电子版全套成果（包括相关附图）。</w:t>
            </w:r>
          </w:p>
          <w:p>
            <w:pPr>
              <w:pStyle w:val="null3"/>
              <w:jc w:val="both"/>
            </w:pPr>
            <w:r>
              <w:rPr>
                <w:rFonts w:ascii="仿宋_GB2312" w:hAnsi="仿宋_GB2312" w:cs="仿宋_GB2312" w:eastAsia="仿宋_GB2312"/>
                <w:sz w:val="18"/>
              </w:rPr>
              <w:t>3.质量要求：通过专家评审并正式批复；内容贴合河道实际，调度措施明确，操作性强。</w:t>
            </w:r>
          </w:p>
          <w:p>
            <w:pPr>
              <w:pStyle w:val="null3"/>
              <w:jc w:val="both"/>
            </w:pPr>
            <w:r>
              <w:rPr>
                <w:rFonts w:ascii="仿宋_GB2312" w:hAnsi="仿宋_GB2312" w:cs="仿宋_GB2312" w:eastAsia="仿宋_GB2312"/>
                <w:sz w:val="18"/>
              </w:rPr>
              <w:t>三、服务周期与人员要求</w:t>
            </w:r>
          </w:p>
          <w:p>
            <w:pPr>
              <w:pStyle w:val="null3"/>
              <w:jc w:val="both"/>
            </w:pPr>
            <w:r>
              <w:rPr>
                <w:rFonts w:ascii="仿宋_GB2312" w:hAnsi="仿宋_GB2312" w:cs="仿宋_GB2312" w:eastAsia="仿宋_GB2312"/>
                <w:sz w:val="18"/>
              </w:rPr>
              <w:t>1.服务周期：合同签订后60日历天内完成送审稿；评审后20日历天内完成报批稿；配合完成印发、备案等相关工作。</w:t>
            </w:r>
          </w:p>
          <w:p>
            <w:pPr>
              <w:pStyle w:val="null3"/>
              <w:jc w:val="both"/>
            </w:pPr>
            <w:r>
              <w:rPr>
                <w:rFonts w:ascii="仿宋_GB2312" w:hAnsi="仿宋_GB2312" w:cs="仿宋_GB2312" w:eastAsia="仿宋_GB2312"/>
                <w:sz w:val="18"/>
              </w:rPr>
              <w:t>2.人员要求</w:t>
            </w:r>
          </w:p>
          <w:p>
            <w:pPr>
              <w:pStyle w:val="null3"/>
              <w:jc w:val="both"/>
            </w:pPr>
            <w:r>
              <w:rPr>
                <w:rFonts w:ascii="仿宋_GB2312" w:hAnsi="仿宋_GB2312" w:cs="仿宋_GB2312" w:eastAsia="仿宋_GB2312"/>
                <w:sz w:val="18"/>
              </w:rPr>
              <w:t>（1）项目负责人：水利相关专业高级及以上职称，具有河道防洪预案编制经验；</w:t>
            </w:r>
          </w:p>
          <w:p>
            <w:pPr>
              <w:pStyle w:val="null3"/>
              <w:jc w:val="both"/>
            </w:pPr>
            <w:r>
              <w:rPr>
                <w:rFonts w:ascii="仿宋_GB2312" w:hAnsi="仿宋_GB2312" w:cs="仿宋_GB2312" w:eastAsia="仿宋_GB2312"/>
                <w:sz w:val="18"/>
              </w:rPr>
              <w:t>（2）技术团队：水利水电工程、水文、河道整治等专业人员不少于 3 人；</w:t>
            </w:r>
          </w:p>
          <w:p>
            <w:pPr>
              <w:pStyle w:val="null3"/>
              <w:jc w:val="both"/>
            </w:pPr>
            <w:r>
              <w:rPr>
                <w:rFonts w:ascii="仿宋_GB2312" w:hAnsi="仿宋_GB2312" w:cs="仿宋_GB2312" w:eastAsia="仿宋_GB2312"/>
                <w:sz w:val="18"/>
              </w:rPr>
              <w:t>（3）现场踏勘不少于</w:t>
            </w:r>
            <w:r>
              <w:rPr>
                <w:rFonts w:ascii="仿宋_GB2312" w:hAnsi="仿宋_GB2312" w:cs="仿宋_GB2312" w:eastAsia="仿宋_GB2312"/>
                <w:sz w:val="18"/>
                <w:b/>
              </w:rPr>
              <w:t>3</w:t>
            </w:r>
            <w:r>
              <w:rPr>
                <w:rFonts w:ascii="仿宋_GB2312" w:hAnsi="仿宋_GB2312" w:cs="仿宋_GB2312" w:eastAsia="仿宋_GB2312"/>
                <w:sz w:val="18"/>
              </w:rPr>
              <w:t>次。</w:t>
            </w:r>
          </w:p>
          <w:p>
            <w:pPr>
              <w:pStyle w:val="null3"/>
              <w:jc w:val="both"/>
            </w:pPr>
            <w:r>
              <w:rPr>
                <w:rFonts w:ascii="仿宋_GB2312" w:hAnsi="仿宋_GB2312" w:cs="仿宋_GB2312" w:eastAsia="仿宋_GB2312"/>
                <w:sz w:val="18"/>
              </w:rPr>
              <w:t>四、商务要求</w:t>
            </w:r>
          </w:p>
          <w:p>
            <w:pPr>
              <w:pStyle w:val="null3"/>
              <w:jc w:val="both"/>
            </w:pPr>
            <w:r>
              <w:rPr>
                <w:rFonts w:ascii="仿宋_GB2312" w:hAnsi="仿宋_GB2312" w:cs="仿宋_GB2312" w:eastAsia="仿宋_GB2312"/>
                <w:sz w:val="18"/>
              </w:rPr>
              <w:t>售后服务：提供1年免费技术咨询、预案解释、配合防汛演练等服务。</w:t>
            </w:r>
          </w:p>
          <w:p>
            <w:pPr>
              <w:pStyle w:val="null3"/>
              <w:jc w:val="both"/>
            </w:pPr>
            <w:r>
              <w:rPr>
                <w:rFonts w:ascii="仿宋_GB2312" w:hAnsi="仿宋_GB2312" w:cs="仿宋_GB2312" w:eastAsia="仿宋_GB2312"/>
                <w:sz w:val="18"/>
              </w:rPr>
              <w:t>五、验收标准</w:t>
            </w:r>
          </w:p>
          <w:p>
            <w:pPr>
              <w:pStyle w:val="null3"/>
              <w:jc w:val="both"/>
            </w:pPr>
            <w:r>
              <w:rPr>
                <w:rFonts w:ascii="仿宋_GB2312" w:hAnsi="仿宋_GB2312" w:cs="仿宋_GB2312" w:eastAsia="仿宋_GB2312"/>
                <w:sz w:val="18"/>
              </w:rPr>
              <w:t>1.成果完整、符合河道防洪实际；</w:t>
            </w:r>
          </w:p>
          <w:p>
            <w:pPr>
              <w:pStyle w:val="null3"/>
              <w:jc w:val="both"/>
            </w:pPr>
            <w:r>
              <w:rPr>
                <w:rFonts w:ascii="仿宋_GB2312" w:hAnsi="仿宋_GB2312" w:cs="仿宋_GB2312" w:eastAsia="仿宋_GB2312"/>
                <w:sz w:val="18"/>
              </w:rPr>
              <w:t>2.通过专家评审并经主管部门批复；</w:t>
            </w:r>
          </w:p>
          <w:p>
            <w:pPr>
              <w:pStyle w:val="null3"/>
              <w:jc w:val="both"/>
            </w:pPr>
            <w:r>
              <w:rPr>
                <w:rFonts w:ascii="仿宋_GB2312" w:hAnsi="仿宋_GB2312" w:cs="仿宋_GB2312" w:eastAsia="仿宋_GB2312"/>
                <w:sz w:val="18"/>
              </w:rPr>
              <w:t>3.完全满足本采购需求全部要求。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合同签订后60日历天内完成送审稿；评审后20日历天内完成报批稿；配合完成印发、备案等相关工作。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1.成果完整、符合河道防洪实际；2.通过专家评审并经主管部门批复；3.完全满足本项目采购需求的全部要求。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送审稿通过初审 ，成果批复后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1.依据国家相关法律法规的条款和本合同约定，服务商未全面履行合同义务或者发生违约，采购人有权终止合同，依法向服务商行经济索赔,并报请政府采购监督管理机关进行相应的行政处罚。 2.在履行合同过程中,服务商不能按时完成合同约定内容或未按技术规范编制或最终未通过复核验收的,经采购人通知而未在采购人指定时间整改，延误超过10天仍不配合的，采购人有权单方解除本合同,乙方应向采购人支付所有已得款项，并支付合同总价20%的违约金。 （二）争议解决 在执行本合同中发生的或与本合同有关的争端，双方应通过友好协商解决，经协商在60天内不能达成协议时，则采取以下方式解决争议：向甲方所在地有管辖权的人民法院提起诉讼。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本项目属于西安市本级项目，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四、根据《陕西省财政厅关于持续优化政府采购营商环境有关事项的通知》（陕财办采〔2024〕9 号）文件的通知，采购人在中标（成交）通知书发出之日起 25 日内，按照采购文件确定的事项与中标（成交）供应商签订政府采购合同。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（2）税收缴纳证明：提供供应商自磋商前1年以来已缴纳任意时段完税凭证或税务机关开具的完税证明（任意税种）；依法免税的应提供相关文件证明；公益类事业单位可不提供； （3）社会保障资金缴纳证明：提供供应商自磋商前1年以来已缴存的任意时段的社会保障资金缴存单据或社保机构开具的社会保险参保缴费情况证明；依法不需要缴纳社会保障资金的供应商应提供相关文件证明；公益类事业单位可不提供；（4）提供供应商具备履行合同所必需的设备和专业技术能力的证明材料； （5）供应商参加本次磋商前3年内，在经营活动中没有重大违法记录的书面声明；（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供应商需在项目电子化交易系统中按要求填写《响应函》完成承诺并进行电子签章。供应商需在《供应商应提交的相关资格证明材料》中提供上述资格证明材料。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需提供2024或2025年度经审计的供应商财务会计报告或者提供响应文件截止时间3个月内其基本账户开户银行出具的资信证明。 供应商需在项目电子化交易系统中按要求上传相应证明文件。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供应商应具备工程设计综合甲级资质或水利行业乙级及以上资质或水利行业（城市防洪）专业乙级及以上资质。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服务内容及服务邀请应答表 费用组成明细表.docx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对项目背景和实施目的的认识和理解</w:t>
            </w:r>
          </w:p>
        </w:tc>
        <w:tc>
          <w:tcPr>
            <w:tcW w:type="dxa" w:w="2492"/>
          </w:tcPr>
          <w:p>
            <w:pPr>
              <w:pStyle w:val="null3"/>
            </w:pPr>
            <w:r>
              <w:rPr>
                <w:rFonts w:ascii="仿宋_GB2312" w:hAnsi="仿宋_GB2312" w:cs="仿宋_GB2312" w:eastAsia="仿宋_GB2312"/>
              </w:rPr>
              <w:t>一、评审内容：能够全面理解本项目实施目的，对本服务项目有深刻且独特的见解，具有深度的思考。 二、评审标准：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本项目整体实施方案</w:t>
            </w:r>
          </w:p>
        </w:tc>
        <w:tc>
          <w:tcPr>
            <w:tcW w:type="dxa" w:w="2492"/>
          </w:tcPr>
          <w:p>
            <w:pPr>
              <w:pStyle w:val="null3"/>
            </w:pPr>
            <w:r>
              <w:rPr>
                <w:rFonts w:ascii="仿宋_GB2312" w:hAnsi="仿宋_GB2312" w:cs="仿宋_GB2312" w:eastAsia="仿宋_GB2312"/>
              </w:rPr>
              <w:t>一、评审内容：针对采购内容提出适用于本项目的整体实施方案，具体包括： ①基础资料收集与河道现状评估方案（5分）； ②河流防洪预案文本修编方案（5分）；③成果报告印发方案（5分）；④配合采购人免费技术咨询、预案解释、防汛演练等售后服务组织方案（5分）。 二、评审标准： 以上内容每一项专门以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配合协调方案</w:t>
            </w:r>
          </w:p>
        </w:tc>
        <w:tc>
          <w:tcPr>
            <w:tcW w:type="dxa" w:w="2492"/>
          </w:tcPr>
          <w:p>
            <w:pPr>
              <w:pStyle w:val="null3"/>
            </w:pPr>
            <w:r>
              <w:rPr>
                <w:rFonts w:ascii="仿宋_GB2312" w:hAnsi="仿宋_GB2312" w:cs="仿宋_GB2312" w:eastAsia="仿宋_GB2312"/>
              </w:rPr>
              <w:t>一、评审内容：项目实施过程中有积极与采购人、相关主管部门的配合协调方案，确保本项目顺利实施。 二、评审标准：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采购内容提出适用于本项目的保障措施，包括：①成果文件编制规范性保障方案（5分）；②项目实施进度保障措施（5分）；③主要工作质量保证措施（5分）；④针对性的关键点分析及保证措施（5分）；⑤人员安全保障措施（5分）。 二、评审标准：以上内容每一项专门以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一、评审内容：根据以往项目实施经验，提供有利于项目实施的合理化建议。 二、评审标准： 以上内容专门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一、评审内容：针对采购内容提出适用于本项目的服务承诺，包括：①对项目的实施质量要求、进度要求、时限要求、成果文件编制质量等相关内容等做出承诺（5分）； ②对服务期内，服务团队的稳定性做出承诺（5分）； ③对项目后期服务及配合采购人相关工作等相关内容做出承诺（5分）。 二、评审标准：以上内容每一项专门以针对本项目且符合本项目实际需求、内容完整、可实施性强的得5分，缺评审项扣5分。若内容中存在缺陷，每出现一处缺陷扣0.5分，扣完为止。“缺陷”指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项目组成员技术能力情况评审</w:t>
            </w:r>
          </w:p>
        </w:tc>
        <w:tc>
          <w:tcPr>
            <w:tcW w:type="dxa" w:w="2492"/>
          </w:tcPr>
          <w:p>
            <w:pPr>
              <w:pStyle w:val="null3"/>
            </w:pPr>
            <w:r>
              <w:rPr>
                <w:rFonts w:ascii="仿宋_GB2312" w:hAnsi="仿宋_GB2312" w:cs="仿宋_GB2312" w:eastAsia="仿宋_GB2312"/>
              </w:rPr>
              <w:t>投入本项目的项目组成员中（除项目负责人外）具备水利水电工程、水文、河道整治等相关专业中级及以上职称资格的人员，每投入1人赋1分，最高5分（需提供职称证书）。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供应商提供近五年（2021年1月1日至今）类似项目业绩，每提供1个得2分，最高得10分；（业绩证明以合同为准，须在响应文件中附合同的扫描件加盖单位公章）。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以本次满足磋商文件要求的最低磋商评审价为磋商基准价，其价格为满分，供应商的价格分，统一按照下列公式计算：磋商评审价=最后报价×（1-报价扣除幅度） ，最后报价得分=(磋商基准价／磋商评审价)×价格分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