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版本号：TZZB-Z-2026062C20260430001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西安市智慧教育大平台密码应用安全性评估服务项目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TZZB-Z-2026062C</w:t>
      </w:r>
      <w:r>
        <w:br/>
      </w:r>
      <w:r>
        <w:br/>
      </w:r>
      <w:r>
        <w:br/>
      </w:r>
    </w:p>
    <w:p>
      <w:pPr>
        <w:pStyle w:val="null3"/>
        <w:jc w:val="center"/>
        <w:outlineLvl w:val="2"/>
      </w:pPr>
      <w:r>
        <w:rPr>
          <w:rFonts w:ascii="仿宋_GB2312" w:hAnsi="仿宋_GB2312" w:cs="仿宋_GB2312" w:eastAsia="仿宋_GB2312"/>
          <w:sz w:val="28"/>
          <w:b/>
        </w:rPr>
        <w:t>西安市教育局（本级）</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西安市教育局（本级）</w:t>
      </w:r>
      <w:r>
        <w:rPr>
          <w:rFonts w:ascii="仿宋_GB2312" w:hAnsi="仿宋_GB2312" w:cs="仿宋_GB2312" w:eastAsia="仿宋_GB2312"/>
        </w:rPr>
        <w:t>委托，拟对</w:t>
      </w:r>
      <w:r>
        <w:rPr>
          <w:rFonts w:ascii="仿宋_GB2312" w:hAnsi="仿宋_GB2312" w:cs="仿宋_GB2312" w:eastAsia="仿宋_GB2312"/>
        </w:rPr>
        <w:t>西安市智慧教育大平台密码应用安全性评估服务项目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TZZB-Z-2026062C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西安市智慧教育大平台密码应用安全性评估服务项目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智慧教育大平台密码应用安全性评估服务项目是依据GB/T39786等国家商用密码应用安全测评标准体系的要求，对西安市智慧教育大平台开展商用密码应用安全性评估（简称“密评”），按三级进行密评，并出具《商用密码应用安全性评估报告》，并协助向密码管理部门完成备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采购包1（西安市智慧教育大平台密码应用安全性评估服务项目）：属于专门面向中小企业采购。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p>
      <w:pPr>
        <w:pStyle w:val="null3"/>
      </w:pPr>
      <w:r>
        <w:rPr>
          <w:rFonts w:ascii="仿宋_GB2312" w:hAnsi="仿宋_GB2312" w:cs="仿宋_GB2312" w:eastAsia="仿宋_GB2312"/>
        </w:rPr>
        <w:t>3、企业资质：供应商须持有国家密码管理局颁发的处于有效期内的《商用密码检测机构资质证书》，同时在国家密码管理局公布的现行有效的《商用密码检测机构（商用密码应用安全性评估业务）目录》内；提供加盖公章的网站公告页面、目录复印件及资质证书复印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西安市凤城八路109号市政府6号楼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029-86682106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西安市雁塔区科技二路71号竹园·天寰国际1107室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温丽妮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029-65652860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改革委办公厅《关于招标代理服务收费有关问题的通知》（发改办价格〔2003〕857号）及国家发展改革委《关于降低部分建设项目收费标准规范收费行为等有关问题的通知》（发改价格〔2011〕534号）规定的标准计取。 代理服务费缴纳账号：同正项目管理有限公司 开户银行：中国建设银行股份有限公司西安长庆支行 账号：61050190550000001106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西安市教育局（本级）</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省、市及行业相关标准。（2）符合采购文件中的相应技术要求。（3）符合项目实施过程中，双方约定的标准和要求。（4）验收标准包括但不限于：对各系统的各功能模块及性能指标做专业性的技术检验，并按照国产密码评估的要求开展工作，对各系统进行国产密码评估，满足上线要求，项目交付物齐全，提供被评估系统的商用密码应用安全性评估报告，并协助委托方取得系统的备案回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联系人：温丽妮</w:t>
      </w:r>
    </w:p>
    <w:p>
      <w:pPr>
        <w:pStyle w:val="null3"/>
      </w:pPr>
      <w:r>
        <w:rPr>
          <w:rFonts w:ascii="仿宋_GB2312" w:hAnsi="仿宋_GB2312" w:cs="仿宋_GB2312" w:eastAsia="仿宋_GB2312"/>
        </w:rPr>
        <w:t>联系电话：029-65652860</w:t>
      </w:r>
    </w:p>
    <w:p>
      <w:pPr>
        <w:pStyle w:val="null3"/>
      </w:pPr>
      <w:r>
        <w:rPr>
          <w:rFonts w:ascii="仿宋_GB2312" w:hAnsi="仿宋_GB2312" w:cs="仿宋_GB2312" w:eastAsia="仿宋_GB2312"/>
        </w:rPr>
        <w:t>地址：西安市雁塔区科技二路71号竹园·天寰国际1107室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西安市智慧教育大平台密码应用安全性评估服务项目是依据GB/T 39786等国家商用密码应用安全测评标准体系的要求，对西安市智慧教育大平台开展商用密码应用安全性评估（简称“密评”），按三级进行密评，并出具《商用密码应用安全性评估报告》。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1,440,000.00</w:t>
      </w:r>
    </w:p>
    <w:p>
      <w:pPr>
        <w:pStyle w:val="null3"/>
      </w:pPr>
      <w:r>
        <w:rPr>
          <w:rFonts w:ascii="仿宋_GB2312" w:hAnsi="仿宋_GB2312" w:cs="仿宋_GB2312" w:eastAsia="仿宋_GB2312"/>
        </w:rPr>
        <w:t>采购包最高限价（元）: 1,440,000.00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西安市智慧教育大平台密码应用安全性评估服务项目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标的名称：西安市智慧教育大平台密码应用安全性评估服务项目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1.项目总体目标</w:t>
            </w:r>
          </w:p>
          <w:p>
            <w:pPr>
              <w:pStyle w:val="null3"/>
            </w:pPr>
            <w:r>
              <w:rPr>
                <w:rFonts w:ascii="仿宋_GB2312" w:hAnsi="仿宋_GB2312" w:cs="仿宋_GB2312" w:eastAsia="仿宋_GB2312"/>
                <w:sz w:val="24"/>
              </w:rPr>
              <w:t>依照相关政策文件，对采购人</w:t>
            </w:r>
            <w:r>
              <w:rPr>
                <w:rFonts w:ascii="仿宋_GB2312" w:hAnsi="仿宋_GB2312" w:cs="仿宋_GB2312" w:eastAsia="仿宋_GB2312"/>
                <w:sz w:val="24"/>
              </w:rPr>
              <w:t>14个应用系统提供密码应用安全性评估服务，按照国家规范要求，制定测评方案，实施测评，提出整改意见，跟踪整改进度，为服务项目验收提供依据。</w:t>
            </w:r>
          </w:p>
          <w:tbl>
            <w:tblPr>
              <w:tblInd w:type="dxa" w:w="105"/>
              <w:tblBorders>
                <w:top w:val="none" w:color="000000" w:sz="4"/>
                <w:left w:val="none" w:color="000000" w:sz="4"/>
                <w:bottom w:val="none" w:color="000000" w:sz="4"/>
                <w:right w:val="none" w:color="000000" w:sz="4"/>
                <w:insideH w:val="none"/>
                <w:insideV w:val="none"/>
              </w:tblBorders>
            </w:tblPr>
            <w:tblGrid>
              <w:gridCol w:w="226"/>
              <w:gridCol w:w="1371"/>
              <w:gridCol w:w="403"/>
              <w:gridCol w:w="554"/>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系统名称</w:t>
                  </w:r>
                </w:p>
              </w:tc>
              <w:tc>
                <w:tcPr>
                  <w:tcW w:type="dxa" w:w="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服务数量</w:t>
                  </w:r>
                </w:p>
              </w:tc>
              <w:tc>
                <w:tcPr>
                  <w:tcW w:type="dxa" w:w="5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数字化教学服务系统</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学生健康管理系统</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学前教育管理信息系统</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校园综合管理系统</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教师全息画像系统</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师生信息素养提升实践活动系统</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数字教育大脑应用系统</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组织中心</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应用中心</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数据中心</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“i西安”教育版web门户</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“i西安”便民服务端教育专区小程序</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西安市教育电子地图系统</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教育统计基础数据库系统</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bl>
          <w:p>
            <w:pPr>
              <w:pStyle w:val="null3"/>
            </w:pPr>
            <w:r>
              <w:rPr>
                <w:rFonts w:ascii="仿宋_GB2312" w:hAnsi="仿宋_GB2312" w:cs="仿宋_GB2312" w:eastAsia="仿宋_GB2312"/>
                <w:sz w:val="24"/>
                <w:b/>
              </w:rPr>
              <w:t>2.服务范围</w:t>
            </w:r>
          </w:p>
          <w:p>
            <w:pPr>
              <w:pStyle w:val="null3"/>
            </w:pPr>
            <w:r>
              <w:rPr>
                <w:rFonts w:ascii="仿宋_GB2312" w:hAnsi="仿宋_GB2312" w:cs="仿宋_GB2312" w:eastAsia="仿宋_GB2312"/>
                <w:sz w:val="24"/>
              </w:rPr>
              <w:t>本项目密码测评服务主要针对采购人</w:t>
            </w:r>
            <w:r>
              <w:rPr>
                <w:rFonts w:ascii="仿宋_GB2312" w:hAnsi="仿宋_GB2312" w:cs="仿宋_GB2312" w:eastAsia="仿宋_GB2312"/>
                <w:sz w:val="24"/>
              </w:rPr>
              <w:t>14个应用系统开展商用密码应用安全评估。</w:t>
            </w:r>
          </w:p>
          <w:p>
            <w:pPr>
              <w:pStyle w:val="null3"/>
            </w:pPr>
            <w:r>
              <w:rPr>
                <w:rFonts w:ascii="仿宋_GB2312" w:hAnsi="仿宋_GB2312" w:cs="仿宋_GB2312" w:eastAsia="仿宋_GB2312"/>
                <w:sz w:val="24"/>
                <w:b/>
              </w:rPr>
              <w:t>3.服务内容</w:t>
            </w:r>
          </w:p>
          <w:p>
            <w:pPr>
              <w:pStyle w:val="null3"/>
            </w:pPr>
            <w:r>
              <w:rPr>
                <w:rFonts w:ascii="仿宋_GB2312" w:hAnsi="仿宋_GB2312" w:cs="仿宋_GB2312" w:eastAsia="仿宋_GB2312"/>
                <w:sz w:val="24"/>
              </w:rPr>
              <w:t>依据</w:t>
            </w:r>
            <w:r>
              <w:rPr>
                <w:rFonts w:ascii="仿宋_GB2312" w:hAnsi="仿宋_GB2312" w:cs="仿宋_GB2312" w:eastAsia="仿宋_GB2312"/>
                <w:sz w:val="24"/>
              </w:rPr>
              <w:t>GB/T39786-2021《信息安全技术信息系统密码应用基本要求》、GB/T43206-2023《信息安全技术信息系统密码应用测评要求》等密评标准和通过评估的密码应用方案对系统进行评估，采取材料审查、人员访谈、实地查看、配置检查、工具测评等评估方法对系统密码应用情况进行评估分析，核查系统技术应用、密钥管理、安全管理是否符合密评要求；对评估过程中发现的问题进行汇总确认，总结各项评估指标的评估结果，编制评估报告。具体内容包括：</w:t>
            </w:r>
          </w:p>
          <w:tbl>
            <w:tblPr>
              <w:tblInd w:type="dxa" w:w="105"/>
              <w:tblBorders>
                <w:top w:val="none" w:color="000000" w:sz="4"/>
                <w:left w:val="none" w:color="000000" w:sz="4"/>
                <w:bottom w:val="none" w:color="000000" w:sz="4"/>
                <w:right w:val="none" w:color="000000" w:sz="4"/>
                <w:insideH w:val="none"/>
                <w:insideV w:val="none"/>
              </w:tblBorders>
            </w:tblPr>
            <w:tblGrid>
              <w:gridCol w:w="223"/>
              <w:gridCol w:w="516"/>
              <w:gridCol w:w="538"/>
              <w:gridCol w:w="1257"/>
            </w:tblGrid>
            <w:tr>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服务内容</w:t>
                  </w:r>
                </w:p>
              </w:tc>
              <w:tc>
                <w:tcPr>
                  <w:tcW w:type="dxa" w:w="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服务内容子项</w:t>
                  </w:r>
                </w:p>
              </w:tc>
              <w:tc>
                <w:tcPr>
                  <w:tcW w:type="dxa" w:w="1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工作内容</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需求沟通</w:t>
                  </w:r>
                </w:p>
                <w:p>
                  <w:pPr>
                    <w:pStyle w:val="null3"/>
                    <w:jc w:val="center"/>
                  </w:pPr>
                  <w:r>
                    <w:rPr>
                      <w:rFonts w:ascii="仿宋_GB2312" w:hAnsi="仿宋_GB2312" w:cs="仿宋_GB2312" w:eastAsia="仿宋_GB2312"/>
                      <w:sz w:val="24"/>
                    </w:rPr>
                    <w:t>确认</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需求沟通调研和确认工作实施要求</w:t>
                  </w:r>
                </w:p>
              </w:tc>
              <w:tc>
                <w:tcPr>
                  <w:tcW w:type="dxa" w:w="1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对安全评估的组织实施流程、风险管控效果、时间节点、交付成果、评估方式等基础信息进行沟通核实，确认服务需求和工作要求</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基础材料搜集整理和现场沟通采集</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按照评估准备实施要求，搜集整理必要素材</w:t>
                  </w:r>
                </w:p>
              </w:tc>
              <w:tc>
                <w:tcPr>
                  <w:tcW w:type="dxa" w:w="1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通过远程或现场会议方式与业务研发、运维部门技术团队和保障团队沟通评估所需基础素材、文档等必要信息</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密码应用方案评估</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密码应用方案</w:t>
                  </w:r>
                </w:p>
                <w:p>
                  <w:pPr>
                    <w:pStyle w:val="null3"/>
                    <w:jc w:val="center"/>
                  </w:pPr>
                  <w:r>
                    <w:rPr>
                      <w:rFonts w:ascii="仿宋_GB2312" w:hAnsi="仿宋_GB2312" w:cs="仿宋_GB2312" w:eastAsia="仿宋_GB2312"/>
                      <w:sz w:val="24"/>
                    </w:rPr>
                    <w:t>评估</w:t>
                  </w:r>
                </w:p>
              </w:tc>
              <w:tc>
                <w:tcPr>
                  <w:tcW w:type="dxa" w:w="1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对委托方制定的密码应用方案进行评估，出具《密码应用方案评估报告》</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系统评估</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依据《信息安全技术信息系统密码应用基本要求》（</w:t>
                  </w:r>
                  <w:r>
                    <w:rPr>
                      <w:rFonts w:ascii="仿宋_GB2312" w:hAnsi="仿宋_GB2312" w:cs="仿宋_GB2312" w:eastAsia="仿宋_GB2312"/>
                      <w:sz w:val="24"/>
                    </w:rPr>
                    <w:t>GB/T39786-2021）等标准进行测评</w:t>
                  </w:r>
                </w:p>
              </w:tc>
              <w:tc>
                <w:tcPr>
                  <w:tcW w:type="dxa" w:w="1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按照</w:t>
                  </w:r>
                  <w:r>
                    <w:rPr>
                      <w:rFonts w:ascii="仿宋_GB2312" w:hAnsi="仿宋_GB2312" w:cs="仿宋_GB2312" w:eastAsia="仿宋_GB2312"/>
                      <w:sz w:val="24"/>
                    </w:rPr>
                    <w:t>GB/T39786-2021《信息安全技术信息系统密码应用基本要求》及通过评估的密码应用方案对系统进行评估，采取材料审查、人员访谈、实地查看、配置检查、工具测评等评估方法对系统密码应用情况进行评估分析，核查系统技术应用、密钥管理、安全管理是否符合密评要求。</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报告编制</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编制评估报告</w:t>
                  </w:r>
                </w:p>
              </w:tc>
              <w:tc>
                <w:tcPr>
                  <w:tcW w:type="dxa" w:w="1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对评估过程中发现的问题进行汇总确认，总结各项评估指标的评估结果，编制评估报告。</w:t>
                  </w:r>
                </w:p>
              </w:tc>
            </w:tr>
          </w:tbl>
          <w:p>
            <w:pPr>
              <w:pStyle w:val="null3"/>
            </w:pPr>
            <w:r>
              <w:rPr>
                <w:rFonts w:ascii="仿宋_GB2312" w:hAnsi="仿宋_GB2312" w:cs="仿宋_GB2312" w:eastAsia="仿宋_GB2312"/>
                <w:sz w:val="24"/>
              </w:rPr>
              <w:t>开展商用密码应用安全性评估，从通用要求、物理和环境、网络和通信、设备和计算、应用和数据、管理制度、人员管理、建设运行、应急处置等方面开展测评，具体测评指标如下：</w:t>
            </w:r>
          </w:p>
          <w:tbl>
            <w:tblPr>
              <w:tblInd w:type="dxa" w:w="105"/>
              <w:tblBorders>
                <w:top w:val="none" w:color="000000" w:sz="4"/>
                <w:left w:val="none" w:color="000000" w:sz="4"/>
                <w:bottom w:val="none" w:color="000000" w:sz="4"/>
                <w:right w:val="none" w:color="000000" w:sz="4"/>
                <w:insideH w:val="none"/>
                <w:insideV w:val="none"/>
              </w:tblBorders>
            </w:tblPr>
            <w:tblGrid>
              <w:gridCol w:w="301"/>
              <w:gridCol w:w="806"/>
              <w:gridCol w:w="1446"/>
            </w:tblGrid>
            <w:tr>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测评层面</w:t>
                  </w:r>
                </w:p>
              </w:tc>
              <w:tc>
                <w:tcPr>
                  <w:tcW w:type="dxa" w:w="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测评单元</w:t>
                  </w:r>
                </w:p>
              </w:tc>
              <w:tc>
                <w:tcPr>
                  <w:tcW w:type="dxa" w:w="1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指标要求</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物理和环境安全</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身份鉴别</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宜采用密码技术进行物理访问身份鉴别，保证重要区域进入人员身份的真实性。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电子门禁记录数据存储完整性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宜采用密码技术保证电子门禁系统进出记录数据的存储完整性。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视频监控记录数据存储完整性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宜采用密码技术保证视频监控音像记录数据的存储完整性。</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网络和通信安全</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身份鉴别</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应采用密码技术对通信实体进行身份鉴别，保证通信实体身份的真实性。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通信数据完整性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宜采用密码技术保证通信过程中数据的完整性。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通信过程中重要数据的机密性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应采用密码技术保证通信过程中重要数据的机密性。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网络边界访问控制信息的完整性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宜采用密码技术保证网络边界访问控制信息的完整性。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安全接入认证</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可采用密码技术对从外部连接到内部网络的设备进行接入认证，确保接入的设备身份真实性。</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设备和计算安全</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身份鉴别</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应采用密码技术对登录设备的用户进行身份鉴别，保证用户身份的真实性。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远程管理通道安全</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远程管理设备时，应采用密码技术建立安全的信息传输通道。</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系统资源访问控制信息完整性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宜采用密码技术保证系统资源访问控制信息的完整性。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重要信息资源安全标记完整性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宜采用密码技术保证设备中的重要信息资源安全标记的完整性。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日志记录完整性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宜采用密码技术保证日志记录的完整性。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重要可执行程序完整性、重要可执行程序来源真实性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宜采用密码技术对重要可执行程序进行完整性保护，并对其来源进行真实性验证。</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应用和数据安全</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身份鉴别</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应采用密码技术对登录用户进行身份鉴别，保证应用系统用户身份的真实性。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访问控制信息完整性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宜采用密码技术保证信息系统应用的访问控制信息的完整性。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重要信息资源安全标记完整性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宜采用密码技术保证信息系统应用的重要信息资源安全标记的完整性；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重要数据传输机密性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应采用密码技术保证信息系统应用的重要数据在传输过程中的机密性。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重要数据存储机密性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应采用密码技术保证信息系统应用的重要数据在存储过程中的机密性。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重要数据传输完整性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宜采用密码技术保证信息系统应用的重要数据在传输过程中的完整性。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重要数据存储完整性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宜采用密码技术保证信息系统应用的重要数据在存储过程中的完整性；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不可否认性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在可能涉及法律责任认定的应用中，宜采用密码技术提供数据原发证据和数据接收证据，实现数据原发行为的不可否认性和数据接收行为的不可否认性。</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管理制度</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具备密码应用安全管理制度</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应具备密码应用安全管理制度，包括密码人员管理、密钥管理、建设运行、应急处置、密码软硬件及介质管理等制度；</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密钥管理规则</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应根据密码应用方案建立相应密钥管理规则；</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建立操作规程</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应对管理人员或操作人员执行的日常管理操作建立操作规程；</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定期修订安全管理制度</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应定期对密码应用安全管理制度和操作规程的合理性和适用性进行论证和审定，对存在不足或需要改进之处进行修订；</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明确管理制度发布流程</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应明确相关密码应用安全管理制度和操作规程的发布流程并进行版本控制；</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制度执行过程记录留存</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应具有密码应用操作规程的相关执行记录并妥善保存。</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人员管理</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了解并遵守密码相关法律法规和密码管理制度</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相关人员应了解并遵守密码相关法律法规、密码应用安全管理制度；</w:t>
                  </w:r>
                </w:p>
              </w:tc>
            </w:tr>
            <w:tr>
              <w:tc>
                <w:tcPr>
                  <w:tcW w:type="dxa" w:w="301"/>
                  <w:vMerge/>
                  <w:tcBorders>
                    <w:top w:val="none" w:color="000000" w:sz="4"/>
                    <w:left w:val="single" w:color="000000" w:sz="4"/>
                    <w:bottom w:val="single" w:color="000000" w:sz="4"/>
                    <w:right w:val="single" w:color="000000" w:sz="4"/>
                  </w:tcBorders>
                </w:tcPr>
                <w:p/>
              </w:tc>
              <w:tc>
                <w:tcPr>
                  <w:tcW w:type="dxa" w:w="8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建立密码应用岗位责任制度</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应建立密码应用岗位责任制度，明确各岗位在安全系统中的职责和权限：</w:t>
                  </w:r>
                </w:p>
              </w:tc>
            </w:tr>
            <w:tr>
              <w:tc>
                <w:tcPr>
                  <w:tcW w:type="dxa" w:w="301"/>
                  <w:vMerge/>
                  <w:tcBorders>
                    <w:top w:val="none" w:color="000000" w:sz="4"/>
                    <w:left w:val="single" w:color="000000" w:sz="4"/>
                    <w:bottom w:val="single" w:color="000000" w:sz="4"/>
                    <w:right w:val="single" w:color="000000" w:sz="4"/>
                  </w:tcBorders>
                </w:tcPr>
                <w:p/>
              </w:tc>
              <w:tc>
                <w:tcPr>
                  <w:tcW w:type="dxa" w:w="806"/>
                  <w:vMerge/>
                  <w:tcBorders>
                    <w:top w:val="none" w:color="000000" w:sz="4"/>
                    <w:left w:val="single" w:color="000000" w:sz="4"/>
                    <w:bottom w:val="single" w:color="000000" w:sz="4"/>
                    <w:right w:val="single" w:color="000000" w:sz="4"/>
                  </w:tcBorders>
                </w:tc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1)根据密码应用的实际情况，设置密钥管理员、密码安全审计员、密码操作员等关键安全岗位；</w:t>
                  </w:r>
                </w:p>
              </w:tc>
            </w:tr>
            <w:tr>
              <w:tc>
                <w:tcPr>
                  <w:tcW w:type="dxa" w:w="301"/>
                  <w:vMerge/>
                  <w:tcBorders>
                    <w:top w:val="none" w:color="000000" w:sz="4"/>
                    <w:left w:val="single" w:color="000000" w:sz="4"/>
                    <w:bottom w:val="single" w:color="000000" w:sz="4"/>
                    <w:right w:val="single" w:color="000000" w:sz="4"/>
                  </w:tcBorders>
                </w:tcPr>
                <w:p/>
              </w:tc>
              <w:tc>
                <w:tcPr>
                  <w:tcW w:type="dxa" w:w="806"/>
                  <w:vMerge/>
                  <w:tcBorders>
                    <w:top w:val="none" w:color="000000" w:sz="4"/>
                    <w:left w:val="single" w:color="000000" w:sz="4"/>
                    <w:bottom w:val="single" w:color="000000" w:sz="4"/>
                    <w:right w:val="single" w:color="000000" w:sz="4"/>
                  </w:tcBorders>
                </w:tc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2)对关键岗位建立多人共管机制；</w:t>
                  </w:r>
                </w:p>
              </w:tc>
            </w:tr>
            <w:tr>
              <w:tc>
                <w:tcPr>
                  <w:tcW w:type="dxa" w:w="301"/>
                  <w:vMerge/>
                  <w:tcBorders>
                    <w:top w:val="none" w:color="000000" w:sz="4"/>
                    <w:left w:val="single" w:color="000000" w:sz="4"/>
                    <w:bottom w:val="single" w:color="000000" w:sz="4"/>
                    <w:right w:val="single" w:color="000000" w:sz="4"/>
                  </w:tcBorders>
                </w:tcPr>
                <w:p/>
              </w:tc>
              <w:tc>
                <w:tcPr>
                  <w:tcW w:type="dxa" w:w="806"/>
                  <w:vMerge/>
                  <w:tcBorders>
                    <w:top w:val="none" w:color="000000" w:sz="4"/>
                    <w:left w:val="single" w:color="000000" w:sz="4"/>
                    <w:bottom w:val="single" w:color="000000" w:sz="4"/>
                    <w:right w:val="single" w:color="000000" w:sz="4"/>
                  </w:tcBorders>
                </w:tc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3)密钥管理、密码安全审计、密码操作人员职责互相制约互相监督，其中密码安全审计员岗位不可与密钥管理员、密码操作员兼任；</w:t>
                  </w:r>
                </w:p>
              </w:tc>
            </w:tr>
            <w:tr>
              <w:tc>
                <w:tcPr>
                  <w:tcW w:type="dxa" w:w="301"/>
                  <w:vMerge/>
                  <w:tcBorders>
                    <w:top w:val="none" w:color="000000" w:sz="4"/>
                    <w:left w:val="single" w:color="000000" w:sz="4"/>
                    <w:bottom w:val="single" w:color="000000" w:sz="4"/>
                    <w:right w:val="single" w:color="000000" w:sz="4"/>
                  </w:tcBorders>
                </w:tcPr>
                <w:p/>
              </w:tc>
              <w:tc>
                <w:tcPr>
                  <w:tcW w:type="dxa" w:w="806"/>
                  <w:vMerge/>
                  <w:tcBorders>
                    <w:top w:val="none" w:color="000000" w:sz="4"/>
                    <w:left w:val="single" w:color="000000" w:sz="4"/>
                    <w:bottom w:val="single" w:color="000000" w:sz="4"/>
                    <w:right w:val="single" w:color="000000" w:sz="4"/>
                  </w:tcBorders>
                </w:tc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4)相关设备与系统的管理和使用账号不得多人共用。</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建立上岗人员培训制度</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应建立上岗人员培训制度，对于涉及密码的操作和管理的人员进行专门培训，确保其具备岗位所需专业技能；</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定期进行安全岗位人员考核</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应定期对密码应用安全岗位人员进行考核；</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建立关键岗位人员保密制度和调离制度</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应建立关键人员保密制度和调离制度，签订保密合同，承担保密义务。</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建设运行</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制定密码应用方案</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应依据密码相关标准和密码应用需求，制定密码应用方案；</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制定密钥安全管理策略</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应根据密码应用方案，确定系统涉及的密钥种类、体系及其生命周期环节。</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制定实施方案</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应按照应用方案实施建设；</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投入运行前进行密码应用安全性评估</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投入运行前应进行密码应用安全性评估，评估通过后系统方可正式运行；</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定期开展密码应用安全性评估及攻防对抗演习</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在运行过程中，应严格执行既定的密码应用安全管理制度，应定期开展密码应用安全性评估及攻防对抗演习，并根据评估结果进行整改。</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应急处置</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应急策略</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应制定密码应用应急策略，做好应急资源准备，当密码应用安全事件发生时，应立即启动应急处置措施，结合实际情况及时处置；</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事件处置</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事件发生后，应及时向信息系统主管部门进行报告；</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向有关主管部门上报处置情况</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事件处置完成后，应及时向信息系统主管部门及归属的密码管理部门报告事件发生情况及处置情况。</w:t>
                  </w:r>
                </w:p>
              </w:tc>
            </w:tr>
          </w:tbl>
          <w:p>
            <w:pPr>
              <w:pStyle w:val="null3"/>
            </w:pPr>
            <w:r>
              <w:rPr>
                <w:rFonts w:ascii="仿宋_GB2312" w:hAnsi="仿宋_GB2312" w:cs="仿宋_GB2312" w:eastAsia="仿宋_GB2312"/>
                <w:sz w:val="24"/>
                <w:b/>
              </w:rPr>
              <w:t>4.服务要求</w:t>
            </w:r>
          </w:p>
          <w:p>
            <w:pPr>
              <w:pStyle w:val="null3"/>
            </w:pPr>
            <w:r>
              <w:rPr>
                <w:rFonts w:ascii="仿宋_GB2312" w:hAnsi="仿宋_GB2312" w:cs="仿宋_GB2312" w:eastAsia="仿宋_GB2312"/>
                <w:sz w:val="24"/>
              </w:rPr>
              <w:t>4.1技术要求</w:t>
            </w:r>
          </w:p>
          <w:p>
            <w:pPr>
              <w:pStyle w:val="null3"/>
            </w:pPr>
            <w:r>
              <w:rPr>
                <w:rFonts w:ascii="仿宋_GB2312" w:hAnsi="仿宋_GB2312" w:cs="仿宋_GB2312" w:eastAsia="仿宋_GB2312"/>
                <w:sz w:val="24"/>
              </w:rPr>
              <w:t>测评机构按照</w:t>
            </w:r>
            <w:r>
              <w:rPr>
                <w:rFonts w:ascii="仿宋_GB2312" w:hAnsi="仿宋_GB2312" w:cs="仿宋_GB2312" w:eastAsia="仿宋_GB2312"/>
                <w:sz w:val="24"/>
              </w:rPr>
              <w:t>GB/T39786-2021《信息安全技术 信息系统密码应用基本要求》、GB/T43206-2023《信息安全技术信息系统密码应用测评要求》等密评标准对系统进行评估，密码应用测评须满足合规性、正确性、有效性。</w:t>
            </w:r>
          </w:p>
          <w:p>
            <w:pPr>
              <w:pStyle w:val="null3"/>
            </w:pPr>
            <w:r>
              <w:rPr>
                <w:rFonts w:ascii="仿宋_GB2312" w:hAnsi="仿宋_GB2312" w:cs="仿宋_GB2312" w:eastAsia="仿宋_GB2312"/>
                <w:sz w:val="24"/>
              </w:rPr>
              <w:t>合规性，指信息系统中的密码算法、密码协议、密钥管理、密码产品和服务使用合规；使用符合国家密码法规和标准规定的商用密码算法，使用经检测认证合格的商用密码产品或服务。</w:t>
            </w:r>
          </w:p>
          <w:p>
            <w:pPr>
              <w:pStyle w:val="null3"/>
            </w:pPr>
            <w:r>
              <w:rPr>
                <w:rFonts w:ascii="仿宋_GB2312" w:hAnsi="仿宋_GB2312" w:cs="仿宋_GB2312" w:eastAsia="仿宋_GB2312"/>
                <w:sz w:val="24"/>
              </w:rPr>
              <w:t>正确性，指信息系统中的密码算法、密码协议、密钥管理、密码产品和服务使用正确。即釆用的密码算法、协议和密钥管理机制按照相应的密码国家和行业标准进行正确的设计和实现；密码保障系统建设或改造过程中密码产品和服务的部署和应用正确。</w:t>
            </w:r>
          </w:p>
          <w:p>
            <w:pPr>
              <w:pStyle w:val="null3"/>
            </w:pPr>
            <w:r>
              <w:rPr>
                <w:rFonts w:ascii="仿宋_GB2312" w:hAnsi="仿宋_GB2312" w:cs="仿宋_GB2312" w:eastAsia="仿宋_GB2312"/>
                <w:sz w:val="24"/>
              </w:rPr>
              <w:t>有效性，指信息系统釆用的密码协议、密钥管理系统、密码应用子系统和密码安全防护机制不仅设计合理，而且在系统运行过程中能够发挥密码效用，保障信息的机密性、完整性、真实性、抗抵赖性。</w:t>
            </w:r>
          </w:p>
          <w:p>
            <w:pPr>
              <w:pStyle w:val="null3"/>
            </w:pPr>
            <w:r>
              <w:rPr>
                <w:rFonts w:ascii="仿宋_GB2312" w:hAnsi="仿宋_GB2312" w:cs="仿宋_GB2312" w:eastAsia="仿宋_GB2312"/>
                <w:sz w:val="24"/>
              </w:rPr>
              <w:t>4.2进度要求</w:t>
            </w:r>
          </w:p>
          <w:p>
            <w:pPr>
              <w:pStyle w:val="null3"/>
            </w:pPr>
            <w:r>
              <w:rPr>
                <w:rFonts w:ascii="仿宋_GB2312" w:hAnsi="仿宋_GB2312" w:cs="仿宋_GB2312" w:eastAsia="仿宋_GB2312"/>
                <w:sz w:val="24"/>
              </w:rPr>
              <w:t>4.2.1进度管理</w:t>
            </w:r>
          </w:p>
          <w:p>
            <w:pPr>
              <w:pStyle w:val="null3"/>
            </w:pPr>
            <w:r>
              <w:rPr>
                <w:rFonts w:ascii="仿宋_GB2312" w:hAnsi="仿宋_GB2312" w:cs="仿宋_GB2312" w:eastAsia="仿宋_GB2312"/>
                <w:sz w:val="24"/>
              </w:rPr>
              <w:t>（</w:t>
            </w:r>
            <w:r>
              <w:rPr>
                <w:rFonts w:ascii="仿宋_GB2312" w:hAnsi="仿宋_GB2312" w:cs="仿宋_GB2312" w:eastAsia="仿宋_GB2312"/>
                <w:sz w:val="24"/>
              </w:rPr>
              <w:t>1）合同签订后，</w:t>
            </w:r>
            <w:r>
              <w:rPr>
                <w:rFonts w:ascii="仿宋_GB2312" w:hAnsi="仿宋_GB2312" w:cs="仿宋_GB2312" w:eastAsia="仿宋_GB2312"/>
                <w:sz w:val="24"/>
              </w:rPr>
              <w:t>40日历日内</w:t>
            </w:r>
            <w:r>
              <w:rPr>
                <w:rFonts w:ascii="仿宋_GB2312" w:hAnsi="仿宋_GB2312" w:cs="仿宋_GB2312" w:eastAsia="仿宋_GB2312"/>
                <w:sz w:val="24"/>
              </w:rPr>
              <w:t>完成交付。</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w:t>
            </w:r>
            <w:r>
              <w:rPr>
                <w:rFonts w:ascii="仿宋_GB2312" w:hAnsi="仿宋_GB2312" w:cs="仿宋_GB2312" w:eastAsia="仿宋_GB2312"/>
                <w:sz w:val="24"/>
              </w:rPr>
              <w:t>应在所</w:t>
            </w:r>
            <w:r>
              <w:rPr>
                <w:rFonts w:ascii="仿宋_GB2312" w:hAnsi="仿宋_GB2312" w:cs="仿宋_GB2312" w:eastAsia="仿宋_GB2312"/>
                <w:sz w:val="24"/>
              </w:rPr>
              <w:t>响应</w:t>
            </w:r>
            <w:r>
              <w:rPr>
                <w:rFonts w:ascii="仿宋_GB2312" w:hAnsi="仿宋_GB2312" w:cs="仿宋_GB2312" w:eastAsia="仿宋_GB2312"/>
                <w:sz w:val="24"/>
              </w:rPr>
              <w:t>的技术方案书中提交详细的项目组织及实施规划，并且提交从合同签订之日起的周工作进度安排计划，须严格按照项目进度要求开展项目工作。</w:t>
            </w:r>
          </w:p>
          <w:p>
            <w:pPr>
              <w:pStyle w:val="null3"/>
            </w:pPr>
            <w:r>
              <w:rPr>
                <w:rFonts w:ascii="仿宋_GB2312" w:hAnsi="仿宋_GB2312" w:cs="仿宋_GB2312" w:eastAsia="仿宋_GB2312"/>
                <w:sz w:val="24"/>
              </w:rPr>
              <w:t>（</w:t>
            </w:r>
            <w:r>
              <w:rPr>
                <w:rFonts w:ascii="仿宋_GB2312" w:hAnsi="仿宋_GB2312" w:cs="仿宋_GB2312" w:eastAsia="仿宋_GB2312"/>
                <w:sz w:val="24"/>
              </w:rPr>
              <w:t>3）须严格按照项目阶段设计项目里程碑和里程碑产出物。</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供应商</w:t>
            </w:r>
            <w:r>
              <w:rPr>
                <w:rFonts w:ascii="仿宋_GB2312" w:hAnsi="仿宋_GB2312" w:cs="仿宋_GB2312" w:eastAsia="仿宋_GB2312"/>
                <w:sz w:val="24"/>
              </w:rPr>
              <w:t>须严格按照项目里程碑开展工作。</w:t>
            </w:r>
            <w:r>
              <w:rPr>
                <w:rFonts w:ascii="仿宋_GB2312" w:hAnsi="仿宋_GB2312" w:cs="仿宋_GB2312" w:eastAsia="仿宋_GB2312"/>
                <w:sz w:val="24"/>
              </w:rPr>
              <w:t>采购人</w:t>
            </w:r>
            <w:r>
              <w:rPr>
                <w:rFonts w:ascii="仿宋_GB2312" w:hAnsi="仿宋_GB2312" w:cs="仿宋_GB2312" w:eastAsia="仿宋_GB2312"/>
                <w:sz w:val="24"/>
              </w:rPr>
              <w:t>将根据里程碑和里程碑产出物审核</w:t>
            </w:r>
            <w:r>
              <w:rPr>
                <w:rFonts w:ascii="仿宋_GB2312" w:hAnsi="仿宋_GB2312" w:cs="仿宋_GB2312" w:eastAsia="仿宋_GB2312"/>
                <w:sz w:val="24"/>
              </w:rPr>
              <w:t>供应商</w:t>
            </w:r>
            <w:r>
              <w:rPr>
                <w:rFonts w:ascii="仿宋_GB2312" w:hAnsi="仿宋_GB2312" w:cs="仿宋_GB2312" w:eastAsia="仿宋_GB2312"/>
                <w:sz w:val="24"/>
              </w:rPr>
              <w:t>工作。</w:t>
            </w:r>
          </w:p>
          <w:p>
            <w:pPr>
              <w:pStyle w:val="null3"/>
            </w:pPr>
            <w:r>
              <w:rPr>
                <w:rFonts w:ascii="仿宋_GB2312" w:hAnsi="仿宋_GB2312" w:cs="仿宋_GB2312" w:eastAsia="仿宋_GB2312"/>
                <w:sz w:val="24"/>
              </w:rPr>
              <w:t>（</w:t>
            </w:r>
            <w:r>
              <w:rPr>
                <w:rFonts w:ascii="仿宋_GB2312" w:hAnsi="仿宋_GB2312" w:cs="仿宋_GB2312" w:eastAsia="仿宋_GB2312"/>
                <w:sz w:val="24"/>
              </w:rPr>
              <w:t>5）若由于</w:t>
            </w:r>
            <w:r>
              <w:rPr>
                <w:rFonts w:ascii="仿宋_GB2312" w:hAnsi="仿宋_GB2312" w:cs="仿宋_GB2312" w:eastAsia="仿宋_GB2312"/>
                <w:sz w:val="24"/>
              </w:rPr>
              <w:t>供应商</w:t>
            </w:r>
            <w:r>
              <w:rPr>
                <w:rFonts w:ascii="仿宋_GB2312" w:hAnsi="仿宋_GB2312" w:cs="仿宋_GB2312" w:eastAsia="仿宋_GB2312"/>
                <w:sz w:val="24"/>
              </w:rPr>
              <w:t>自身原因导致项目进度滞后于项目里程碑计划，</w:t>
            </w:r>
            <w:r>
              <w:rPr>
                <w:rFonts w:ascii="仿宋_GB2312" w:hAnsi="仿宋_GB2312" w:cs="仿宋_GB2312" w:eastAsia="仿宋_GB2312"/>
                <w:sz w:val="24"/>
              </w:rPr>
              <w:t>采购人</w:t>
            </w:r>
            <w:r>
              <w:rPr>
                <w:rFonts w:ascii="仿宋_GB2312" w:hAnsi="仿宋_GB2312" w:cs="仿宋_GB2312" w:eastAsia="仿宋_GB2312"/>
                <w:sz w:val="24"/>
              </w:rPr>
              <w:t>可根据合同要求追究</w:t>
            </w:r>
            <w:r>
              <w:rPr>
                <w:rFonts w:ascii="仿宋_GB2312" w:hAnsi="仿宋_GB2312" w:cs="仿宋_GB2312" w:eastAsia="仿宋_GB2312"/>
                <w:sz w:val="24"/>
              </w:rPr>
              <w:t>供应商</w:t>
            </w:r>
            <w:r>
              <w:rPr>
                <w:rFonts w:ascii="仿宋_GB2312" w:hAnsi="仿宋_GB2312" w:cs="仿宋_GB2312" w:eastAsia="仿宋_GB2312"/>
                <w:sz w:val="24"/>
              </w:rPr>
              <w:t>责任。</w:t>
            </w:r>
          </w:p>
          <w:p>
            <w:pPr>
              <w:pStyle w:val="null3"/>
            </w:pPr>
            <w:r>
              <w:rPr>
                <w:rFonts w:ascii="仿宋_GB2312" w:hAnsi="仿宋_GB2312" w:cs="仿宋_GB2312" w:eastAsia="仿宋_GB2312"/>
                <w:sz w:val="24"/>
              </w:rPr>
              <w:t>4.2.2验收期限</w:t>
            </w:r>
          </w:p>
          <w:p>
            <w:pPr>
              <w:pStyle w:val="null3"/>
            </w:pPr>
            <w:r>
              <w:rPr>
                <w:rFonts w:ascii="仿宋_GB2312" w:hAnsi="仿宋_GB2312" w:cs="仿宋_GB2312" w:eastAsia="仿宋_GB2312"/>
                <w:sz w:val="24"/>
              </w:rPr>
              <w:t>在合同生效之日起一年内，成果交付完成后</w:t>
            </w:r>
            <w:r>
              <w:rPr>
                <w:rFonts w:ascii="仿宋_GB2312" w:hAnsi="仿宋_GB2312" w:cs="仿宋_GB2312" w:eastAsia="仿宋_GB2312"/>
                <w:sz w:val="24"/>
              </w:rPr>
              <w:t>60工作日内。</w:t>
            </w:r>
          </w:p>
          <w:p>
            <w:pPr>
              <w:pStyle w:val="null3"/>
            </w:pPr>
            <w:r>
              <w:rPr>
                <w:rFonts w:ascii="仿宋_GB2312" w:hAnsi="仿宋_GB2312" w:cs="仿宋_GB2312" w:eastAsia="仿宋_GB2312"/>
                <w:sz w:val="24"/>
              </w:rPr>
              <w:t>4.2.3成果交付期限</w:t>
            </w:r>
          </w:p>
          <w:p>
            <w:pPr>
              <w:pStyle w:val="null3"/>
            </w:pPr>
            <w:r>
              <w:rPr>
                <w:rFonts w:ascii="仿宋_GB2312" w:hAnsi="仿宋_GB2312" w:cs="仿宋_GB2312" w:eastAsia="仿宋_GB2312"/>
                <w:sz w:val="24"/>
              </w:rPr>
              <w:t>合同签订后，</w:t>
            </w:r>
            <w:r>
              <w:rPr>
                <w:rFonts w:ascii="仿宋_GB2312" w:hAnsi="仿宋_GB2312" w:cs="仿宋_GB2312" w:eastAsia="仿宋_GB2312"/>
                <w:sz w:val="24"/>
              </w:rPr>
              <w:t>40日历日内</w:t>
            </w:r>
            <w:r>
              <w:rPr>
                <w:rFonts w:ascii="仿宋_GB2312" w:hAnsi="仿宋_GB2312" w:cs="仿宋_GB2312" w:eastAsia="仿宋_GB2312"/>
                <w:sz w:val="24"/>
              </w:rPr>
              <w:t>完成交付。</w:t>
            </w:r>
          </w:p>
          <w:p>
            <w:pPr>
              <w:pStyle w:val="null3"/>
            </w:pPr>
            <w:r>
              <w:rPr>
                <w:rFonts w:ascii="仿宋_GB2312" w:hAnsi="仿宋_GB2312" w:cs="仿宋_GB2312" w:eastAsia="仿宋_GB2312"/>
                <w:sz w:val="24"/>
              </w:rPr>
              <w:t>4.</w:t>
            </w:r>
            <w:r>
              <w:rPr>
                <w:rFonts w:ascii="仿宋_GB2312" w:hAnsi="仿宋_GB2312" w:cs="仿宋_GB2312" w:eastAsia="仿宋_GB2312"/>
                <w:sz w:val="24"/>
              </w:rPr>
              <w:t>3</w:t>
            </w:r>
            <w:r>
              <w:rPr>
                <w:rFonts w:ascii="仿宋_GB2312" w:hAnsi="仿宋_GB2312" w:cs="仿宋_GB2312" w:eastAsia="仿宋_GB2312"/>
                <w:sz w:val="24"/>
              </w:rPr>
              <w:t>交付地点</w:t>
            </w:r>
          </w:p>
          <w:p>
            <w:pPr>
              <w:pStyle w:val="null3"/>
              <w:jc w:val="both"/>
            </w:pPr>
            <w:r>
              <w:rPr>
                <w:rFonts w:ascii="仿宋_GB2312" w:hAnsi="仿宋_GB2312" w:cs="仿宋_GB2312" w:eastAsia="仿宋_GB2312"/>
                <w:sz w:val="24"/>
              </w:rPr>
              <w:t>采购人指定地点。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供应商根据服务要求自行响应，满足采购人服务要求。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1.归档要求：供应商按照采购人关于项目归档的相关要求，在项目完成验收后的20个工作日内协助采购人完成项目成果资料的归档工作。 2.保密要求：（1）供应商须签订保密协议，对其因身份、职务、职业或技术关系而知悉的采购人商业秘密和党政机关保密信息应严格保守，保证不被披露或使用，包括意外或过失。 （2）供应商不得以竞争为目的、或出于私利、或为第三人谋利而擅自保存、披露、使用采购人商业秘密和党政机关保密信息；不得直接或间接地向无关人员泄露采购人的商业秘密和党政机关保密信息；不得向不承担保密义务的任何第三人披露采购人的商业秘密和党政机关保密信息。供应商在从事政府项目时，不得擅自记录、复制、拍摄、摘抄、收藏在工作中涉及的保密信息，严禁将涉及政府项目的任何资料、数据透露或以其他方式提供给项目以外的其他方或供应商内部与该项目无关的任何人员。 （3）供应商对于工作期间知悉采购人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 （4）严禁泄露在工作中接触到的政府机关科技研究、发明、装备器材及其技术资料和政府工作信息。 3.监理要求：在本项目开展过程中接受采购人通过采购确定的咨询监理机构的监理。 4.廉政要求：供应商与采购人签订廉政责任书。 5.其它约定：其他未涉及内容参照本项目采购文件中技术服务合同文本相应条款的约定执行。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合同签订后，40日历日内完成交付。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 （1）符合国家、省、市及行业相关标准。（2）符合采购文件中的相应技术要求。（3）符合项目实施过程中，双方约定的标准和要求。（4）验收标准包括但不限于：对各系统的各功能模块及性能指标做专业性的技术检验，并按照国产密码评估的要求开展工作，对各系统进行国产密码评估，满足上线要求，项目交付物齐全，提供被评估系统的商用密码应用安全性评估报告，并协助委托方取得系统的备案回执。 2.验收方式 按照验收标准，由采购人组织专家进行验收，必要时，可邀请第三方机构进行验收。 3.验收合格条件 符合国家标准和行业标准及合同要求，符合采购文件、乙方的响应文件、澄清文件和成交通知书的要求等,乙方应严格按照上述及采购人要求实施项目服务。注：乙方应保证交付的成果文件已参照已有的相关规划，并遵循中华人民共和国及地方的有关法律规范，并符合本项目服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完成信息系统的商用密码应用安全性评估并取得密码管理部门系统备案回执后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2.供应商未按合同要求提供服务或服务质量不能满足技术要求，且在规定时间内未使采购人满意的，采购人有权解除合同，同时报请西安市财政局政府采购监管部门对其违约行为进行追究。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采购结果发布后3个工作日内向代理机构提交纸质版响应文件以存档，响应文件正本1份，副本2份（文件内容、格式及信息须与系统上传电子文件保持一致）。纸质响应文件均须A4纸打印，分别各自装订成册并编制目录和页码。 2.依据西安市财政局《关于印发〈西安市预算单位政府采购主体责任清单〉的通知》（市财函〔2026〕123 号）相关要求，采购人与中标（成交）供应商应在中标（成交）通知书发出之日起25日内签订政府采购合同。 3.本项目通过陕西省政府采购综合管理平台进行电子化交易，竞争性磋商文件由采购人及代理机构在平台填报相关内容后由平台系统自动生成。鉴于平台系统模板为通用制式，文件中出现“招标文件”“投标文件”“投标人”等术语，此类术语均为平台系统固化表述，在本项目（采购方式为竞争性磋商）中均应理解为“磋商文件”“响应文件”“供应商”等相应含义。供应商对本项目采购方式及采购文件术语的理解，应以本项目磋商文件第一章明确的采购方式（竞争性磋商）及本说明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供应商需在项目电子化交易系统中按要求填写《投标函》完成承诺并进行电子签章，同时提供以下资格证明材料： 1.出具合法有效的营业执照或事业单位法人证书等国家规定的相关证明，自然人参与的提供其身份证明； 2.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 3.提供自2025年4月1日以来已缴存的任意1个月的社会保障资金缴存单据或社保机构开具的社会保险参保缴费情况证明；依法不需要缴纳社会保障资金的供应商应提供相关证明文件。 4.提供自2025年4月1日以来已缴纳的任意1个月的依法缴纳税收的相关凭据(时间以税款所属日期为准)，凭据应有税务机关或代收机关的公章或业务专用章；依法免税或无须缴纳税收的供应商，应提供相应证明文件。 5.提供具有履行合同所必需的设备和专业技术能力的书面承诺。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1.资格证明材料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w:t>
            </w:r>
          </w:p>
        </w:tc>
        <w:tc>
          <w:tcPr>
            <w:tcW w:type="dxa" w:w="1661"/>
          </w:tcPr>
          <w:p>
            <w:pPr>
              <w:pStyle w:val="null3"/>
            </w:pPr>
            <w:r>
              <w:rPr>
                <w:rFonts w:ascii="仿宋_GB2312" w:hAnsi="仿宋_GB2312" w:cs="仿宋_GB2312" w:eastAsia="仿宋_GB2312"/>
              </w:rPr>
              <w:t>1.资格证明材料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1.资格证明材料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1.资格证明材料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1.资格证明材料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持有国家密码管理局颁发的处于有效期内的《商用密码检测机构资质证书》，同时在国家密码管理局公布的现行有效的《商用密码检测机构（商用密码应用安全性评估业务）目录》内；提供加盖公章的网站公告页面、目录复印件及资质证书复印件。</w:t>
            </w:r>
          </w:p>
        </w:tc>
        <w:tc>
          <w:tcPr>
            <w:tcW w:type="dxa" w:w="1661"/>
          </w:tcPr>
          <w:p>
            <w:pPr>
              <w:pStyle w:val="null3"/>
            </w:pPr>
            <w:r>
              <w:rPr>
                <w:rFonts w:ascii="仿宋_GB2312" w:hAnsi="仿宋_GB2312" w:cs="仿宋_GB2312" w:eastAsia="仿宋_GB2312"/>
              </w:rPr>
              <w:t>1.资格证明材料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每轮报价只能有一个有效报价，不得提交选择性报价，且报价不超过采购预算金额或最高限价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响应文件的签字、 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8.实施方案 11.质量管控措施 14.陕西省政府采购供应商拒绝政府采购领域商业贿赂承诺书 中小企业声明函 10.进度控制计划 9.安全保密制度 13.其他材料及供应商认为有必要说明、阐述的事项 4.供应商综合能力 12.售后服务 7.业绩一览表 响应文件封面 6.项目团队人员配备 1.资格证明材料 残疾人福利性单位声明函 2.服务内容及服务要求应答表 标的清单 响应函 5.测评工具与模拟环境 监狱企业的证明文件 3.商务要求应答表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2.服务内容及服务要求应答表 3.商务要求应答表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2.要求全面响应磋商文件，不能有任何采购人不能接受的附加条件；3.规定不接受选择方案和选择报价（包括交叉折扣）的，供应商提供了选择方案/或选择报价（包括交叉折扣）；4.提供虚假证明，开具虚假资质，出现虚假应答。</w:t>
            </w:r>
          </w:p>
        </w:tc>
        <w:tc>
          <w:tcPr>
            <w:tcW w:type="dxa" w:w="1661"/>
          </w:tcPr>
          <w:p>
            <w:pPr>
              <w:pStyle w:val="null3"/>
            </w:pPr>
            <w:r>
              <w:rPr>
                <w:rFonts w:ascii="仿宋_GB2312" w:hAnsi="仿宋_GB2312" w:cs="仿宋_GB2312" w:eastAsia="仿宋_GB2312"/>
              </w:rPr>
              <w:t>8.实施方案 11.质量管控措施 14.陕西省政府采购供应商拒绝政府采购领域商业贿赂承诺书 中小企业声明函 10.进度控制计划 9.安全保密制度 13.其他材料及供应商认为有必要说明、阐述的事项 4.供应商综合能力 12.售后服务 7.业绩一览表 响应文件封面 6.项目团队人员配备 1.资格证明材料 残疾人福利性单位声明函 2.服务内容及服务要求应答表 标的清单 响应函 5.测评工具与模拟环境 监狱企业的证明文件 3.商务要求应答表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供应商综合能力</w:t>
            </w:r>
          </w:p>
        </w:tc>
        <w:tc>
          <w:tcPr>
            <w:tcW w:type="dxa" w:w="2492"/>
          </w:tcPr>
          <w:p>
            <w:pPr>
              <w:pStyle w:val="null3"/>
            </w:pPr>
            <w:r>
              <w:rPr>
                <w:rFonts w:ascii="仿宋_GB2312" w:hAnsi="仿宋_GB2312" w:cs="仿宋_GB2312" w:eastAsia="仿宋_GB2312"/>
              </w:rPr>
              <w:t>供应商提供以下任意一项有效认证，得2分，最高得8分： （1）ISO20000信息技术服务管理体系认证证书，且认证范围涉及密码应用安全、信息安全检测或信息系统测评领域； （2）ISO27001信息安全管理体系认证证书，且认证范围涉及密码应用安全、信息安全检测或信息系统测评领域； （3）GB/T19001/ISO9001质量管理体系认证证书，且认证范围涉及信息技术服务、检验检测或信息安全评估领域； （4）市场监督管理部门颁发的《检验检测机构资质认定证书》（CMA），且能力范围涉及密码应用安全检测、商用密码检测或信息安全检测； 注： 提供有效证书复印件及官方查询平台（管理体系认证证书请登录：http://cx.cnca.cn；CMA证书请登录国家或省级市场监管部门官网）的查询截图，截图内容应能证明证书在投标截止日处于有效状态，并加盖公章。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4.供应商综合能力</w:t>
            </w:r>
          </w:p>
        </w:tc>
      </w:tr>
      <w:tr>
        <w:tc>
          <w:tcPr>
            <w:tcW w:type="dxa" w:w="831"/>
            <w:vMerge/>
          </w:tcPr>
          <w:p/>
        </w:tc>
        <w:tc>
          <w:tcPr>
            <w:tcW w:type="dxa" w:w="1661"/>
          </w:tcPr>
          <w:p>
            <w:pPr>
              <w:pStyle w:val="null3"/>
            </w:pPr>
            <w:r>
              <w:rPr>
                <w:rFonts w:ascii="仿宋_GB2312" w:hAnsi="仿宋_GB2312" w:cs="仿宋_GB2312" w:eastAsia="仿宋_GB2312"/>
              </w:rPr>
              <w:t>测评工具与模拟环境</w:t>
            </w:r>
          </w:p>
        </w:tc>
        <w:tc>
          <w:tcPr>
            <w:tcW w:type="dxa" w:w="2492"/>
          </w:tcPr>
          <w:p>
            <w:pPr>
              <w:pStyle w:val="null3"/>
            </w:pPr>
            <w:r>
              <w:rPr>
                <w:rFonts w:ascii="仿宋_GB2312" w:hAnsi="仿宋_GB2312" w:cs="仿宋_GB2312" w:eastAsia="仿宋_GB2312"/>
              </w:rPr>
              <w:t>供应商具备商用密码应用安全性评估相关专业测评工具或模拟验证环境（本项最高得8分），按以下标准计分： 软件类测评工具：每提供一项自研工具（提供中华人民共和国国家版权局颁发的软件著作权登记证书），得3分；提供一项购买的工具（提供购买发票），得1分。最高得6分； 硬件类模拟验证环境：提供采购发票或国家知识产权局颁发的专利证书，提供得2分。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5.测评工具与模拟环境</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项目团队（≥8人）： 1.团队成员通过国家密码管理局组织的商用密码应用安全性评估从业人员考核，成绩合格并取得考核合格证明文件的，每有1名得1分，最高得8分。 2.项目负责人具有信息系统项目管理师证书的，得2分。 3.项目负责人具有以下证书的，每具备1个得3分，最高计6分：注册信息安全专业人员（CISP）证书；信息安全保障人员认证（CISAW）证书。 4.团队成员中每有1名持有其中任意一项得2分，最高得6分：具有密码相关专业或信息安全相关专业学历证书；密码工程技术人员专业技术等级证书；密码技术应用员职业技能等级证书。 注：1.同一人员持有多个证书可累计计分。 2.提供上述人员相关证书复印件； 3.供应商为上述人员缴纳的近3个月内任意1个月的社保缴纳证明复印件（退休返聘人员无法提供社保证明的，须提供退休证及返聘劳动合同复印件）。</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6.项目团队人员配备</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11月1日（根据《商用密码应用安全性评估管理办法》（国家密码管理局令第3号））（以合同签订时间为准）至今具有已完成的同类密码应用安全性评估项目业绩。每提供1份有效业绩得2分，本项最高得8分。 注：须同时提供以下证明材料： 1.合同关键页复印件（须包含合同首页、签章页及能体现项目内容和签订时间的页面）； 2.密码管理部门出具的备案回执或备案证明复印件（可对运营者名称等非必要信息进行脱敏处理）。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7.业绩一览表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根据信息系统密码应用基本要求（GB/T39786-2021）制定商用密码应用安全性评估工作的实施方案，内容包括：①测评对象分析；②测评方法；③测评过程；④测评内容；⑤测评结果分析；⑥报告编制；⑦整改复测；⑧成果交付（供应商承诺按规范完成密评并出具符合备案要求的评估报告，配合采购人（运营者）完成备案相关工作）。 方案各项内容全面详细、阐述条理清晰详尽、符合本项目采购需求，能有效保障本项目实施。每项满分2分，缺项不得分,每存在一处不足，扣0.5分，扣完为止。注：不足是指内容不合理或信息错误、虽有内容但不完善、内容表述前后不一致或矛盾、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8.实施方案</w:t>
            </w:r>
          </w:p>
        </w:tc>
      </w:tr>
      <w:tr>
        <w:tc>
          <w:tcPr>
            <w:tcW w:type="dxa" w:w="831"/>
            <w:vMerge/>
          </w:tcPr>
          <w:p/>
        </w:tc>
        <w:tc>
          <w:tcPr>
            <w:tcW w:type="dxa" w:w="1661"/>
          </w:tcPr>
          <w:p>
            <w:pPr>
              <w:pStyle w:val="null3"/>
            </w:pPr>
            <w:r>
              <w:rPr>
                <w:rFonts w:ascii="仿宋_GB2312" w:hAnsi="仿宋_GB2312" w:cs="仿宋_GB2312" w:eastAsia="仿宋_GB2312"/>
              </w:rPr>
              <w:t>安全保密制度</w:t>
            </w:r>
          </w:p>
        </w:tc>
        <w:tc>
          <w:tcPr>
            <w:tcW w:type="dxa" w:w="2492"/>
          </w:tcPr>
          <w:p>
            <w:pPr>
              <w:pStyle w:val="null3"/>
            </w:pPr>
            <w:r>
              <w:rPr>
                <w:rFonts w:ascii="仿宋_GB2312" w:hAnsi="仿宋_GB2312" w:cs="仿宋_GB2312" w:eastAsia="仿宋_GB2312"/>
              </w:rPr>
              <w:t>供应商提供针对本项目的安全保密制度方案，内容包括：①安全管理制度；②保密措施及承诺；③组织保障体系。 方案各项内容全面详细、阐述条理清晰详尽、符合本项目采购需求，能有效保障本项目实施。每项满分 2分，缺项不得分，每存在一处不足，扣0.5分，扣完为止。注：不足是指内容不合理或信息错误、虽有内容但不完善、内容表述前后不一致或矛盾、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9.安全保密制度</w:t>
            </w:r>
          </w:p>
        </w:tc>
      </w:tr>
      <w:tr>
        <w:tc>
          <w:tcPr>
            <w:tcW w:type="dxa" w:w="831"/>
            <w:vMerge/>
          </w:tcPr>
          <w:p/>
        </w:tc>
        <w:tc>
          <w:tcPr>
            <w:tcW w:type="dxa" w:w="1661"/>
          </w:tcPr>
          <w:p>
            <w:pPr>
              <w:pStyle w:val="null3"/>
            </w:pPr>
            <w:r>
              <w:rPr>
                <w:rFonts w:ascii="仿宋_GB2312" w:hAnsi="仿宋_GB2312" w:cs="仿宋_GB2312" w:eastAsia="仿宋_GB2312"/>
              </w:rPr>
              <w:t>进度控制计划</w:t>
            </w:r>
          </w:p>
        </w:tc>
        <w:tc>
          <w:tcPr>
            <w:tcW w:type="dxa" w:w="2492"/>
          </w:tcPr>
          <w:p>
            <w:pPr>
              <w:pStyle w:val="null3"/>
            </w:pPr>
            <w:r>
              <w:rPr>
                <w:rFonts w:ascii="仿宋_GB2312" w:hAnsi="仿宋_GB2312" w:cs="仿宋_GB2312" w:eastAsia="仿宋_GB2312"/>
              </w:rPr>
              <w:t>供应商根据服务需求制定测评进度控制计划，内容包括：①进度分解；②影响因素分析及影响因素应对措施；③进度监测措施；④进度保证措施等内容。 方案各项内容全面详细、阐述条理清晰详尽、符合本项目采购需求，能有效保障本项目实施。每项满分2分，缺项不得分，每存在一处不足，扣0.5分，扣完为止。注：不足是指内容不合理或信息错误、虽有内容但不完善、内容表述前后不一致或矛盾、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10.进度控制计划</w:t>
            </w:r>
          </w:p>
        </w:tc>
      </w:tr>
      <w:tr>
        <w:tc>
          <w:tcPr>
            <w:tcW w:type="dxa" w:w="831"/>
            <w:vMerge/>
          </w:tcPr>
          <w:p/>
        </w:tc>
        <w:tc>
          <w:tcPr>
            <w:tcW w:type="dxa" w:w="1661"/>
          </w:tcPr>
          <w:p>
            <w:pPr>
              <w:pStyle w:val="null3"/>
            </w:pPr>
            <w:r>
              <w:rPr>
                <w:rFonts w:ascii="仿宋_GB2312" w:hAnsi="仿宋_GB2312" w:cs="仿宋_GB2312" w:eastAsia="仿宋_GB2312"/>
              </w:rPr>
              <w:t>质量管控措施</w:t>
            </w:r>
          </w:p>
        </w:tc>
        <w:tc>
          <w:tcPr>
            <w:tcW w:type="dxa" w:w="2492"/>
          </w:tcPr>
          <w:p>
            <w:pPr>
              <w:pStyle w:val="null3"/>
            </w:pPr>
            <w:r>
              <w:rPr>
                <w:rFonts w:ascii="仿宋_GB2312" w:hAnsi="仿宋_GB2312" w:cs="仿宋_GB2312" w:eastAsia="仿宋_GB2312"/>
              </w:rPr>
              <w:t>供应商提供质量管控措施，内容包括：①现场测评核查；②数据校验；③报告审核；④风险处置流程及备选方案。 上述内容完整可行每项满分2分，缺项不得分，每存在一处不足，扣0.5分，扣完为止。 注：不足是指内容不合理或信息错误、虽有内容但不完善、内容表述前后不一致或矛盾、套用其他项目方案或与项目需求不匹配及其他不利于项目实施的任意一种情形。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11.质量管控措施</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为保障在测评项目结束后的信息安全，须提供完善的售后服务方案，内容包括：①服务团队保障承诺（承诺为本项目配备专门的服务团队，并提供人员名单、联系方式及职责分工）；②应急响应服务（明确响应时间及解决时限、电话/远程技术支持服务）；③安全咨询服务安全培训服务。 方案各项内容能提供以上服务，服务内容完善并有详细的说明、符合本项目采购需求，每项满分2分，缺项不得分，每存在一处不足，扣0.5分，扣完为止。 注：不足是指内容不合理或信息错误、虽有内容但不完善、内容表述前后不一致或矛盾、套用其他项目方案或与项目需求不匹配及其他不利于项目实施的任意一种情形。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12.售后服务</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价格分采用低价优先法计算，即满足采购文件要求且最终报价最低的为评标基准价，其价格分为满分。其他供应商的价格分统一按照下列公式计算：报价得分=（评标基准价/最终报价）×10。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详见附件：1.资格证明材料</w:t>
      </w:r>
    </w:p>
    <w:p>
      <w:pPr>
        <w:pStyle w:val="null3"/>
        <w:ind w:firstLine="960"/>
      </w:pPr>
      <w:r>
        <w:rPr>
          <w:rFonts w:ascii="仿宋_GB2312" w:hAnsi="仿宋_GB2312" w:cs="仿宋_GB2312" w:eastAsia="仿宋_GB2312"/>
        </w:rPr>
        <w:t>详见附件：2.服务内容及服务要求应答表</w:t>
      </w:r>
    </w:p>
    <w:p>
      <w:pPr>
        <w:pStyle w:val="null3"/>
        <w:ind w:firstLine="960"/>
      </w:pPr>
      <w:r>
        <w:rPr>
          <w:rFonts w:ascii="仿宋_GB2312" w:hAnsi="仿宋_GB2312" w:cs="仿宋_GB2312" w:eastAsia="仿宋_GB2312"/>
        </w:rPr>
        <w:t>详见附件：3.商务要求应答表</w:t>
      </w:r>
    </w:p>
    <w:p>
      <w:pPr>
        <w:pStyle w:val="null3"/>
        <w:ind w:firstLine="960"/>
      </w:pPr>
      <w:r>
        <w:rPr>
          <w:rFonts w:ascii="仿宋_GB2312" w:hAnsi="仿宋_GB2312" w:cs="仿宋_GB2312" w:eastAsia="仿宋_GB2312"/>
        </w:rPr>
        <w:t>详见附件：4.供应商综合能力</w:t>
      </w:r>
    </w:p>
    <w:p>
      <w:pPr>
        <w:pStyle w:val="null3"/>
        <w:ind w:firstLine="960"/>
      </w:pPr>
      <w:r>
        <w:rPr>
          <w:rFonts w:ascii="仿宋_GB2312" w:hAnsi="仿宋_GB2312" w:cs="仿宋_GB2312" w:eastAsia="仿宋_GB2312"/>
        </w:rPr>
        <w:t>详见附件：5.测评工具与模拟环境</w:t>
      </w:r>
    </w:p>
    <w:p>
      <w:pPr>
        <w:pStyle w:val="null3"/>
        <w:ind w:firstLine="960"/>
      </w:pPr>
      <w:r>
        <w:rPr>
          <w:rFonts w:ascii="仿宋_GB2312" w:hAnsi="仿宋_GB2312" w:cs="仿宋_GB2312" w:eastAsia="仿宋_GB2312"/>
        </w:rPr>
        <w:t>详见附件：6.项目团队人员配备</w:t>
      </w:r>
    </w:p>
    <w:p>
      <w:pPr>
        <w:pStyle w:val="null3"/>
        <w:ind w:firstLine="960"/>
      </w:pPr>
      <w:r>
        <w:rPr>
          <w:rFonts w:ascii="仿宋_GB2312" w:hAnsi="仿宋_GB2312" w:cs="仿宋_GB2312" w:eastAsia="仿宋_GB2312"/>
        </w:rPr>
        <w:t>详见附件：7.业绩一览表</w:t>
      </w:r>
    </w:p>
    <w:p>
      <w:pPr>
        <w:pStyle w:val="null3"/>
        <w:ind w:firstLine="960"/>
      </w:pPr>
      <w:r>
        <w:rPr>
          <w:rFonts w:ascii="仿宋_GB2312" w:hAnsi="仿宋_GB2312" w:cs="仿宋_GB2312" w:eastAsia="仿宋_GB2312"/>
        </w:rPr>
        <w:t>详见附件：8.实施方案</w:t>
      </w:r>
    </w:p>
    <w:p>
      <w:pPr>
        <w:pStyle w:val="null3"/>
        <w:ind w:firstLine="960"/>
      </w:pPr>
      <w:r>
        <w:rPr>
          <w:rFonts w:ascii="仿宋_GB2312" w:hAnsi="仿宋_GB2312" w:cs="仿宋_GB2312" w:eastAsia="仿宋_GB2312"/>
        </w:rPr>
        <w:t>详见附件：9.安全保密制度</w:t>
      </w:r>
    </w:p>
    <w:p>
      <w:pPr>
        <w:pStyle w:val="null3"/>
        <w:ind w:firstLine="960"/>
      </w:pPr>
      <w:r>
        <w:rPr>
          <w:rFonts w:ascii="仿宋_GB2312" w:hAnsi="仿宋_GB2312" w:cs="仿宋_GB2312" w:eastAsia="仿宋_GB2312"/>
        </w:rPr>
        <w:t>详见附件：10.进度控制计划</w:t>
      </w:r>
    </w:p>
    <w:p>
      <w:pPr>
        <w:pStyle w:val="null3"/>
        <w:ind w:firstLine="960"/>
      </w:pPr>
      <w:r>
        <w:rPr>
          <w:rFonts w:ascii="仿宋_GB2312" w:hAnsi="仿宋_GB2312" w:cs="仿宋_GB2312" w:eastAsia="仿宋_GB2312"/>
        </w:rPr>
        <w:t>详见附件：11.质量管控措施</w:t>
      </w:r>
    </w:p>
    <w:p>
      <w:pPr>
        <w:pStyle w:val="null3"/>
        <w:ind w:firstLine="960"/>
      </w:pPr>
      <w:r>
        <w:rPr>
          <w:rFonts w:ascii="仿宋_GB2312" w:hAnsi="仿宋_GB2312" w:cs="仿宋_GB2312" w:eastAsia="仿宋_GB2312"/>
        </w:rPr>
        <w:t>详见附件：12.售后服务</w:t>
      </w:r>
    </w:p>
    <w:p>
      <w:pPr>
        <w:pStyle w:val="null3"/>
        <w:ind w:firstLine="960"/>
      </w:pPr>
      <w:r>
        <w:rPr>
          <w:rFonts w:ascii="仿宋_GB2312" w:hAnsi="仿宋_GB2312" w:cs="仿宋_GB2312" w:eastAsia="仿宋_GB2312"/>
        </w:rPr>
        <w:t>详见附件：13.其他材料及供应商认为有必要说明、阐述的事项</w:t>
      </w:r>
    </w:p>
    <w:p>
      <w:pPr>
        <w:pStyle w:val="null3"/>
        <w:ind w:firstLine="960"/>
      </w:pPr>
      <w:r>
        <w:rPr>
          <w:rFonts w:ascii="仿宋_GB2312" w:hAnsi="仿宋_GB2312" w:cs="仿宋_GB2312" w:eastAsia="仿宋_GB2312"/>
        </w:rPr>
        <w:t>详见附件：14.陕西省政府采购供应商拒绝政府采购领域商业贿赂承诺书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详见附件：合同-西安市智慧教育大平台密码应用安全性评估服务项目.docx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