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F9457E">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合同类型：</w:t>
      </w:r>
    </w:p>
    <w:p w14:paraId="64525D5E">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合同编号：</w:t>
      </w:r>
    </w:p>
    <w:p w14:paraId="281D696E">
      <w:pPr>
        <w:rPr>
          <w:rFonts w:hint="eastAsia" w:asciiTheme="minorEastAsia" w:hAnsiTheme="minorEastAsia" w:eastAsiaTheme="minorEastAsia" w:cstheme="minorEastAsia"/>
          <w:sz w:val="24"/>
          <w:szCs w:val="24"/>
        </w:rPr>
      </w:pPr>
    </w:p>
    <w:p w14:paraId="3D9F58A6">
      <w:pPr>
        <w:rPr>
          <w:rFonts w:hint="eastAsia" w:asciiTheme="minorEastAsia" w:hAnsiTheme="minorEastAsia" w:eastAsiaTheme="minorEastAsia" w:cstheme="minorEastAsia"/>
          <w:sz w:val="24"/>
          <w:szCs w:val="24"/>
        </w:rPr>
      </w:pPr>
    </w:p>
    <w:p w14:paraId="3874E0F3">
      <w:pPr>
        <w:rPr>
          <w:rFonts w:hint="eastAsia" w:asciiTheme="minorEastAsia" w:hAnsiTheme="minorEastAsia" w:eastAsiaTheme="minorEastAsia" w:cstheme="minorEastAsia"/>
          <w:sz w:val="24"/>
          <w:szCs w:val="24"/>
        </w:rPr>
      </w:pPr>
    </w:p>
    <w:p w14:paraId="4AA66892">
      <w:pPr>
        <w:rPr>
          <w:rFonts w:hint="eastAsia" w:asciiTheme="minorEastAsia" w:hAnsiTheme="minorEastAsia" w:eastAsiaTheme="minorEastAsia" w:cstheme="minorEastAsia"/>
          <w:sz w:val="24"/>
          <w:szCs w:val="24"/>
        </w:rPr>
      </w:pPr>
    </w:p>
    <w:p w14:paraId="2F925CEB">
      <w:pPr>
        <w:rPr>
          <w:rFonts w:hint="eastAsia" w:asciiTheme="minorEastAsia" w:hAnsiTheme="minorEastAsia" w:eastAsiaTheme="minorEastAsia" w:cstheme="minorEastAsia"/>
          <w:sz w:val="24"/>
          <w:szCs w:val="24"/>
        </w:rPr>
      </w:pPr>
    </w:p>
    <w:p w14:paraId="3328B4E6">
      <w:pPr>
        <w:rPr>
          <w:rFonts w:hint="eastAsia" w:asciiTheme="minorEastAsia" w:hAnsiTheme="minorEastAsia" w:eastAsiaTheme="minorEastAsia" w:cstheme="minorEastAsia"/>
          <w:sz w:val="24"/>
          <w:szCs w:val="24"/>
        </w:rPr>
      </w:pPr>
    </w:p>
    <w:p w14:paraId="4CAF2CFC">
      <w:pPr>
        <w:rPr>
          <w:rFonts w:hint="eastAsia" w:asciiTheme="minorEastAsia" w:hAnsiTheme="minorEastAsia" w:eastAsiaTheme="minorEastAsia" w:cstheme="minorEastAsia"/>
          <w:sz w:val="24"/>
          <w:szCs w:val="24"/>
        </w:rPr>
      </w:pPr>
    </w:p>
    <w:p w14:paraId="064A9F96">
      <w:pPr>
        <w:rPr>
          <w:rFonts w:hint="eastAsia" w:asciiTheme="minorEastAsia" w:hAnsiTheme="minorEastAsia" w:eastAsiaTheme="minorEastAsia" w:cstheme="minorEastAsia"/>
          <w:sz w:val="24"/>
          <w:szCs w:val="24"/>
        </w:rPr>
      </w:pPr>
    </w:p>
    <w:p w14:paraId="6DE8E914">
      <w:pPr>
        <w:jc w:val="center"/>
        <w:rPr>
          <w:rFonts w:hint="eastAsia" w:asciiTheme="minorEastAsia" w:hAnsiTheme="minorEastAsia" w:eastAsiaTheme="minorEastAsia" w:cstheme="minorEastAsia"/>
          <w:sz w:val="52"/>
          <w:szCs w:val="52"/>
        </w:rPr>
      </w:pPr>
      <w:r>
        <w:rPr>
          <w:rFonts w:hint="eastAsia" w:asciiTheme="minorEastAsia" w:hAnsiTheme="minorEastAsia" w:eastAsiaTheme="minorEastAsia" w:cstheme="minorEastAsia"/>
          <w:sz w:val="52"/>
          <w:szCs w:val="52"/>
        </w:rPr>
        <w:t>PPP项目</w:t>
      </w:r>
      <w:r>
        <w:rPr>
          <w:rFonts w:hint="eastAsia" w:asciiTheme="minorEastAsia" w:hAnsiTheme="minorEastAsia" w:eastAsiaTheme="minorEastAsia" w:cstheme="minorEastAsia"/>
          <w:sz w:val="52"/>
          <w:szCs w:val="52"/>
          <w:lang w:eastAsia="zh-CN"/>
        </w:rPr>
        <w:t>绩效评价</w:t>
      </w:r>
      <w:r>
        <w:rPr>
          <w:rFonts w:hint="eastAsia" w:asciiTheme="minorEastAsia" w:hAnsiTheme="minorEastAsia" w:eastAsiaTheme="minorEastAsia" w:cstheme="minorEastAsia"/>
          <w:sz w:val="52"/>
          <w:szCs w:val="52"/>
        </w:rPr>
        <w:t>咨询服务合同</w:t>
      </w:r>
    </w:p>
    <w:p w14:paraId="216317C8">
      <w:pPr>
        <w:rPr>
          <w:rFonts w:hint="eastAsia" w:asciiTheme="minorEastAsia" w:hAnsiTheme="minorEastAsia" w:eastAsiaTheme="minorEastAsia" w:cstheme="minorEastAsia"/>
          <w:sz w:val="24"/>
          <w:szCs w:val="24"/>
        </w:rPr>
      </w:pPr>
    </w:p>
    <w:p w14:paraId="42509517">
      <w:pPr>
        <w:rPr>
          <w:rFonts w:hint="eastAsia" w:asciiTheme="minorEastAsia" w:hAnsiTheme="minorEastAsia" w:eastAsiaTheme="minorEastAsia" w:cstheme="minorEastAsia"/>
          <w:sz w:val="24"/>
          <w:szCs w:val="24"/>
        </w:rPr>
      </w:pPr>
    </w:p>
    <w:p w14:paraId="406A4EF4">
      <w:pPr>
        <w:rPr>
          <w:rFonts w:hint="eastAsia" w:asciiTheme="minorEastAsia" w:hAnsiTheme="minorEastAsia" w:eastAsiaTheme="minorEastAsia" w:cstheme="minorEastAsia"/>
          <w:sz w:val="24"/>
          <w:szCs w:val="24"/>
        </w:rPr>
      </w:pPr>
    </w:p>
    <w:p w14:paraId="48B93DB4">
      <w:pPr>
        <w:rPr>
          <w:rFonts w:hint="eastAsia" w:asciiTheme="minorEastAsia" w:hAnsiTheme="minorEastAsia" w:eastAsiaTheme="minorEastAsia" w:cstheme="minorEastAsia"/>
          <w:sz w:val="24"/>
          <w:szCs w:val="24"/>
        </w:rPr>
      </w:pPr>
    </w:p>
    <w:p w14:paraId="56A28EF1">
      <w:pPr>
        <w:rPr>
          <w:rFonts w:hint="eastAsia" w:asciiTheme="minorEastAsia" w:hAnsiTheme="minorEastAsia" w:eastAsiaTheme="minorEastAsia" w:cstheme="minorEastAsia"/>
          <w:sz w:val="24"/>
          <w:szCs w:val="24"/>
        </w:rPr>
      </w:pPr>
    </w:p>
    <w:p w14:paraId="7D76F9D8">
      <w:pPr>
        <w:rPr>
          <w:rFonts w:hint="eastAsia" w:asciiTheme="minorEastAsia" w:hAnsiTheme="minorEastAsia" w:eastAsiaTheme="minorEastAsia" w:cstheme="minorEastAsia"/>
          <w:sz w:val="24"/>
          <w:szCs w:val="24"/>
        </w:rPr>
      </w:pPr>
    </w:p>
    <w:p w14:paraId="64DB3DE2">
      <w:pPr>
        <w:rPr>
          <w:rFonts w:hint="eastAsia" w:asciiTheme="minorEastAsia" w:hAnsiTheme="minorEastAsia" w:eastAsiaTheme="minorEastAsia" w:cstheme="minorEastAsia"/>
          <w:sz w:val="24"/>
          <w:szCs w:val="24"/>
        </w:rPr>
      </w:pPr>
    </w:p>
    <w:p w14:paraId="5C04DB96">
      <w:pPr>
        <w:rPr>
          <w:rFonts w:hint="eastAsia" w:asciiTheme="minorEastAsia" w:hAnsiTheme="minorEastAsia" w:eastAsiaTheme="minorEastAsia" w:cstheme="minorEastAsia"/>
          <w:sz w:val="24"/>
          <w:szCs w:val="24"/>
        </w:rPr>
      </w:pPr>
    </w:p>
    <w:p w14:paraId="2F990A67">
      <w:pPr>
        <w:rPr>
          <w:rFonts w:hint="eastAsia" w:asciiTheme="minorEastAsia" w:hAnsiTheme="minorEastAsia" w:eastAsiaTheme="minorEastAsia" w:cstheme="minorEastAsia"/>
          <w:sz w:val="24"/>
          <w:szCs w:val="24"/>
        </w:rPr>
      </w:pPr>
    </w:p>
    <w:p w14:paraId="054DCA2B">
      <w:pPr>
        <w:rPr>
          <w:rFonts w:hint="eastAsia" w:asciiTheme="minorEastAsia" w:hAnsiTheme="minorEastAsia" w:eastAsiaTheme="minorEastAsia" w:cstheme="minorEastAsia"/>
          <w:sz w:val="28"/>
          <w:szCs w:val="28"/>
        </w:rPr>
      </w:pPr>
    </w:p>
    <w:p w14:paraId="6DBEEF68">
      <w:pPr>
        <w:rPr>
          <w:rFonts w:hint="eastAsia" w:asciiTheme="minorEastAsia" w:hAnsiTheme="minorEastAsia" w:eastAsiaTheme="minorEastAsia" w:cstheme="minorEastAsia"/>
          <w:sz w:val="32"/>
          <w:szCs w:val="32"/>
        </w:rPr>
      </w:pPr>
    </w:p>
    <w:p w14:paraId="76C9DE13">
      <w:pPr>
        <w:rPr>
          <w:rFonts w:hint="eastAsia" w:asciiTheme="minorEastAsia" w:hAnsiTheme="minorEastAsia" w:eastAsiaTheme="minorEastAsia" w:cstheme="minorEastAsia"/>
          <w:sz w:val="32"/>
          <w:szCs w:val="32"/>
        </w:rPr>
      </w:pPr>
    </w:p>
    <w:p w14:paraId="17AF3FE2">
      <w:pPr>
        <w:rPr>
          <w:rFonts w:hint="eastAsia" w:asciiTheme="minorEastAsia" w:hAnsiTheme="minorEastAsia" w:eastAsiaTheme="minorEastAsia" w:cstheme="minorEastAsia"/>
          <w:sz w:val="32"/>
          <w:szCs w:val="32"/>
        </w:rPr>
      </w:pPr>
    </w:p>
    <w:p w14:paraId="260E5E9D">
      <w:pPr>
        <w:rPr>
          <w:rFonts w:hint="eastAsia" w:asciiTheme="minorEastAsia" w:hAnsiTheme="minorEastAsia" w:eastAsiaTheme="minorEastAsia" w:cstheme="minorEastAsia"/>
          <w:sz w:val="32"/>
          <w:szCs w:val="32"/>
        </w:rPr>
      </w:pPr>
    </w:p>
    <w:p w14:paraId="257A5D11">
      <w:pPr>
        <w:rPr>
          <w:rFonts w:hint="eastAsia" w:asciiTheme="minorEastAsia" w:hAnsiTheme="minorEastAsia" w:eastAsiaTheme="minorEastAsia" w:cstheme="minorEastAsia"/>
          <w:sz w:val="32"/>
          <w:szCs w:val="32"/>
        </w:rPr>
      </w:pPr>
    </w:p>
    <w:p w14:paraId="3CB5EE07">
      <w:pPr>
        <w:rPr>
          <w:rFonts w:hint="eastAsia" w:asciiTheme="minorEastAsia" w:hAnsiTheme="minorEastAsia" w:eastAsiaTheme="minorEastAsia" w:cstheme="minorEastAsia"/>
          <w:sz w:val="32"/>
          <w:szCs w:val="32"/>
        </w:rPr>
      </w:pPr>
    </w:p>
    <w:p w14:paraId="5B4063BC">
      <w:pPr>
        <w:rPr>
          <w:rFonts w:hint="eastAsia" w:asciiTheme="minorEastAsia" w:hAnsiTheme="minorEastAsia" w:eastAsiaTheme="minorEastAsia" w:cstheme="minorEastAsia"/>
          <w:sz w:val="32"/>
          <w:szCs w:val="32"/>
          <w:lang w:val="en-US" w:eastAsia="zh-CN"/>
        </w:rPr>
      </w:pPr>
      <w:r>
        <w:rPr>
          <w:rFonts w:hint="eastAsia" w:asciiTheme="minorEastAsia" w:hAnsiTheme="minorEastAsia" w:eastAsiaTheme="minorEastAsia" w:cstheme="minorEastAsia"/>
          <w:sz w:val="32"/>
          <w:szCs w:val="32"/>
        </w:rPr>
        <w:t>项目名称：</w:t>
      </w:r>
    </w:p>
    <w:p w14:paraId="19CC1832">
      <w:pPr>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pacing w:val="80"/>
          <w:kern w:val="0"/>
          <w:sz w:val="32"/>
          <w:szCs w:val="32"/>
          <w:fitText w:val="1120" w:id="1324568854"/>
        </w:rPr>
        <w:t>聘用</w:t>
      </w:r>
      <w:r>
        <w:rPr>
          <w:rFonts w:hint="eastAsia" w:asciiTheme="minorEastAsia" w:hAnsiTheme="minorEastAsia" w:eastAsiaTheme="minorEastAsia" w:cstheme="minorEastAsia"/>
          <w:spacing w:val="0"/>
          <w:kern w:val="0"/>
          <w:sz w:val="32"/>
          <w:szCs w:val="32"/>
          <w:fitText w:val="1120" w:id="1324568854"/>
        </w:rPr>
        <w:t>方</w:t>
      </w:r>
      <w:r>
        <w:rPr>
          <w:rFonts w:hint="eastAsia" w:asciiTheme="minorEastAsia" w:hAnsiTheme="minorEastAsia" w:eastAsiaTheme="minorEastAsia" w:cstheme="minorEastAsia"/>
          <w:sz w:val="32"/>
          <w:szCs w:val="32"/>
        </w:rPr>
        <w:t>：西安市住房和城乡建设局</w:t>
      </w:r>
    </w:p>
    <w:p w14:paraId="3107D533">
      <w:pPr>
        <w:rPr>
          <w:rFonts w:hint="eastAsia" w:asciiTheme="minorEastAsia" w:hAnsiTheme="minorEastAsia" w:eastAsiaTheme="minorEastAsia" w:cstheme="minorEastAsia"/>
          <w:sz w:val="32"/>
          <w:szCs w:val="32"/>
          <w:lang w:eastAsia="zh-CN"/>
        </w:rPr>
      </w:pPr>
      <w:r>
        <w:rPr>
          <w:rFonts w:hint="eastAsia" w:asciiTheme="minorEastAsia" w:hAnsiTheme="minorEastAsia" w:eastAsiaTheme="minorEastAsia" w:cstheme="minorEastAsia"/>
          <w:spacing w:val="80"/>
          <w:kern w:val="0"/>
          <w:sz w:val="32"/>
          <w:szCs w:val="32"/>
          <w:fitText w:val="1120" w:id="1"/>
        </w:rPr>
        <w:t>受聘</w:t>
      </w:r>
      <w:r>
        <w:rPr>
          <w:rFonts w:hint="eastAsia" w:asciiTheme="minorEastAsia" w:hAnsiTheme="minorEastAsia" w:eastAsiaTheme="minorEastAsia" w:cstheme="minorEastAsia"/>
          <w:spacing w:val="0"/>
          <w:kern w:val="0"/>
          <w:sz w:val="32"/>
          <w:szCs w:val="32"/>
          <w:fitText w:val="1120" w:id="1"/>
        </w:rPr>
        <w:t>方</w:t>
      </w:r>
      <w:r>
        <w:rPr>
          <w:rFonts w:hint="eastAsia" w:asciiTheme="minorEastAsia" w:hAnsiTheme="minorEastAsia" w:eastAsiaTheme="minorEastAsia" w:cstheme="minorEastAsia"/>
          <w:sz w:val="32"/>
          <w:szCs w:val="32"/>
        </w:rPr>
        <w:t>：</w:t>
      </w:r>
    </w:p>
    <w:p w14:paraId="013F4677">
      <w:pPr>
        <w:rPr>
          <w:rFonts w:hint="eastAsia" w:asciiTheme="minorEastAsia" w:hAnsiTheme="minorEastAsia" w:eastAsiaTheme="minorEastAsia" w:cstheme="minorEastAsia"/>
          <w:sz w:val="32"/>
          <w:szCs w:val="32"/>
          <w:lang w:eastAsia="zh-CN"/>
        </w:rPr>
      </w:pPr>
      <w:r>
        <w:rPr>
          <w:rFonts w:hint="eastAsia" w:asciiTheme="minorEastAsia" w:hAnsiTheme="minorEastAsia" w:eastAsiaTheme="minorEastAsia" w:cstheme="minorEastAsia"/>
          <w:sz w:val="32"/>
          <w:szCs w:val="32"/>
        </w:rPr>
        <w:t>签订日期：</w:t>
      </w:r>
    </w:p>
    <w:p w14:paraId="62E2424A">
      <w:pP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32"/>
          <w:szCs w:val="32"/>
        </w:rPr>
        <w:t>签订地点：</w:t>
      </w:r>
    </w:p>
    <w:p w14:paraId="720CD4B0">
      <w:pPr>
        <w:rPr>
          <w:rFonts w:hint="eastAsia" w:asciiTheme="minorEastAsia" w:hAnsiTheme="minorEastAsia" w:eastAsiaTheme="minorEastAsia" w:cstheme="minorEastAsia"/>
          <w:sz w:val="24"/>
          <w:szCs w:val="24"/>
        </w:rPr>
        <w:sectPr>
          <w:pgSz w:w="11900" w:h="16840"/>
          <w:pgMar w:top="1431" w:right="1429" w:bottom="1429" w:left="1629" w:header="0" w:footer="0" w:gutter="0"/>
          <w:cols w:space="720" w:num="1"/>
        </w:sectPr>
      </w:pPr>
    </w:p>
    <w:p w14:paraId="121B016B">
      <w:pPr>
        <w:keepNext w:val="0"/>
        <w:keepLines w:val="0"/>
        <w:pageBreakBefore w:val="0"/>
        <w:widowControl/>
        <w:overflowPunct/>
        <w:bidi w:val="0"/>
        <w:adjustRightInd w:val="0"/>
        <w:snapToGrid w:val="0"/>
        <w:spacing w:line="360" w:lineRule="auto"/>
        <w:rPr>
          <w:rFonts w:hint="eastAsia" w:asciiTheme="minorEastAsia" w:hAnsiTheme="minorEastAsia" w:eastAsiaTheme="minorEastAsia" w:cstheme="minorEastAsia"/>
          <w:sz w:val="24"/>
          <w:szCs w:val="24"/>
          <w:u w:val="single"/>
          <w:lang w:eastAsia="zh-CN"/>
        </w:rPr>
      </w:pPr>
      <w:r>
        <w:rPr>
          <w:rFonts w:hint="eastAsia" w:asciiTheme="minorEastAsia" w:hAnsiTheme="minorEastAsia" w:eastAsiaTheme="minorEastAsia" w:cstheme="minorEastAsia"/>
          <w:sz w:val="24"/>
          <w:szCs w:val="24"/>
        </w:rPr>
        <w:t>甲方(聘用方):</w:t>
      </w:r>
      <w:r>
        <w:rPr>
          <w:rFonts w:hint="eastAsia" w:asciiTheme="minorEastAsia" w:hAnsiTheme="minorEastAsia" w:eastAsiaTheme="minorEastAsia" w:cstheme="minorEastAsia"/>
          <w:sz w:val="24"/>
          <w:szCs w:val="24"/>
          <w:u w:val="single"/>
        </w:rPr>
        <w:t>西安市住房和城乡建设局</w:t>
      </w:r>
    </w:p>
    <w:p w14:paraId="6B7BD0BD">
      <w:pPr>
        <w:keepNext w:val="0"/>
        <w:keepLines w:val="0"/>
        <w:pageBreakBefore w:val="0"/>
        <w:widowControl/>
        <w:overflowPunct/>
        <w:bidi w:val="0"/>
        <w:adjustRightInd w:val="0"/>
        <w:snapToGrid w:val="0"/>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乙方(受聘方):</w:t>
      </w:r>
      <w:r>
        <w:rPr>
          <w:rFonts w:hint="eastAsia" w:asciiTheme="minorEastAsia" w:hAnsiTheme="minorEastAsia" w:eastAsiaTheme="minorEastAsia" w:cstheme="minorEastAsia"/>
          <w:sz w:val="24"/>
          <w:szCs w:val="24"/>
          <w:u w:val="single"/>
          <w:lang w:val="en-US" w:eastAsia="zh-CN"/>
        </w:rPr>
        <w:t xml:space="preserve">                      </w:t>
      </w:r>
    </w:p>
    <w:p w14:paraId="53EEB498">
      <w:pPr>
        <w:keepNext w:val="0"/>
        <w:keepLines w:val="0"/>
        <w:pageBreakBefore w:val="0"/>
        <w:widowControl w:val="0"/>
        <w:kinsoku/>
        <w:wordWrap w:val="0"/>
        <w:overflowPunct/>
        <w:topLinePunct/>
        <w:autoSpaceDE/>
        <w:autoSpaceDN/>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根据《中华人民共和国民法典》和其他有关法律、法规，甲乙双方本着平等自愿、诚实守信的原则，经友好协商一致，甲方就</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202</w:t>
      </w:r>
      <w:r>
        <w:rPr>
          <w:rFonts w:hint="eastAsia" w:asciiTheme="minorEastAsia" w:hAnsiTheme="minorEastAsia" w:eastAsiaTheme="minorEastAsia" w:cstheme="minorEastAsia"/>
          <w:sz w:val="24"/>
          <w:szCs w:val="24"/>
          <w:lang w:val="en-US" w:eastAsia="zh-CN"/>
        </w:rPr>
        <w:t>6</w:t>
      </w:r>
      <w:r>
        <w:rPr>
          <w:rFonts w:hint="eastAsia" w:asciiTheme="minorEastAsia" w:hAnsiTheme="minorEastAsia" w:eastAsiaTheme="minorEastAsia" w:cstheme="minorEastAsia"/>
          <w:sz w:val="24"/>
          <w:szCs w:val="24"/>
        </w:rPr>
        <w:t>年四个季度运营期绩效评价，聘请乙方开展咨询服务，按下述条款签订本合同。</w:t>
      </w:r>
    </w:p>
    <w:p w14:paraId="29EE7475">
      <w:pPr>
        <w:keepNext w:val="0"/>
        <w:keepLines w:val="0"/>
        <w:pageBreakBefore w:val="0"/>
        <w:widowControl w:val="0"/>
        <w:overflowPunct/>
        <w:bidi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第一条服务内容</w:t>
      </w:r>
    </w:p>
    <w:p w14:paraId="2DE993DF">
      <w:pPr>
        <w:keepNext w:val="0"/>
        <w:keepLines w:val="0"/>
        <w:pageBreakBefore w:val="0"/>
        <w:widowControl w:val="0"/>
        <w:overflowPunct/>
        <w:bidi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乙方利用其在PPP项目咨询服务上的专业力量和经验，为甲方提供(包含但不仅限于)以下咨询服务：</w:t>
      </w:r>
    </w:p>
    <w:p w14:paraId="1C2A3543">
      <w:pPr>
        <w:keepNext w:val="0"/>
        <w:keepLines w:val="0"/>
        <w:pageBreakBefore w:val="0"/>
        <w:widowControl w:val="0"/>
        <w:overflowPunct/>
        <w:bidi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(一)运营期绩效监控、评价与应用</w:t>
      </w:r>
    </w:p>
    <w:p w14:paraId="7ED97F0E">
      <w:pPr>
        <w:keepNext w:val="0"/>
        <w:keepLines w:val="0"/>
        <w:pageBreakBefore w:val="0"/>
        <w:widowControl w:val="0"/>
        <w:kinsoku/>
        <w:wordWrap w:val="0"/>
        <w:overflowPunct/>
        <w:topLinePunct/>
        <w:autoSpaceDE/>
        <w:autoSpaceDN/>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根据项目《运营期绩效评价工作方案》</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《特许经营协议》等，乙方协助甲方开展202</w:t>
      </w:r>
      <w:r>
        <w:rPr>
          <w:rFonts w:hint="eastAsia" w:asciiTheme="minorEastAsia" w:hAnsiTheme="minorEastAsia" w:eastAsiaTheme="minorEastAsia" w:cstheme="minorEastAsia"/>
          <w:sz w:val="24"/>
          <w:szCs w:val="24"/>
          <w:lang w:val="en-US" w:eastAsia="zh-CN"/>
        </w:rPr>
        <w:t>6</w:t>
      </w:r>
      <w:r>
        <w:rPr>
          <w:rFonts w:hint="eastAsia" w:asciiTheme="minorEastAsia" w:hAnsiTheme="minorEastAsia" w:eastAsiaTheme="minorEastAsia" w:cstheme="minorEastAsia"/>
          <w:sz w:val="24"/>
          <w:szCs w:val="24"/>
        </w:rPr>
        <w:t>年四个季度运营期绩效评价相关工作，采取有效方式对绩效目标完成情况实施绩效评价，形成相关季度《</w:t>
      </w:r>
      <w:r>
        <w:rPr>
          <w:rFonts w:hint="eastAsia" w:asciiTheme="minorEastAsia" w:hAnsiTheme="minorEastAsia" w:eastAsiaTheme="minorEastAsia" w:cstheme="minorEastAsia"/>
          <w:sz w:val="24"/>
          <w:szCs w:val="24"/>
          <w:lang w:eastAsia="zh-CN"/>
        </w:rPr>
        <w:t>运营期</w:t>
      </w:r>
      <w:r>
        <w:rPr>
          <w:rFonts w:hint="eastAsia" w:asciiTheme="minorEastAsia" w:hAnsiTheme="minorEastAsia" w:eastAsiaTheme="minorEastAsia" w:cstheme="minorEastAsia"/>
          <w:sz w:val="24"/>
          <w:szCs w:val="24"/>
        </w:rPr>
        <w:t>绩效评价报告》报政府相关部门。</w:t>
      </w:r>
      <w:r>
        <w:rPr>
          <w:rFonts w:hint="eastAsia" w:asciiTheme="minorEastAsia" w:hAnsiTheme="minorEastAsia" w:eastAsiaTheme="minorEastAsia" w:cstheme="minorEastAsia"/>
          <w:sz w:val="24"/>
          <w:szCs w:val="24"/>
          <w:highlight w:val="none"/>
          <w:lang w:val="en-US" w:eastAsia="zh-CN"/>
        </w:rPr>
        <w:t>参照有关政策、标准规定及工作实际、类似项目实施经验等，对各项目《运营期绩效评价工作方案》提出修改意见，配合市住建局进行修改完善并确定。</w:t>
      </w:r>
    </w:p>
    <w:p w14:paraId="31EC0D05">
      <w:pPr>
        <w:keepNext w:val="0"/>
        <w:keepLines w:val="0"/>
        <w:pageBreakBefore w:val="0"/>
        <w:widowControl w:val="0"/>
        <w:overflowPunct/>
        <w:bidi w:val="0"/>
        <w:adjustRightInd w:val="0"/>
        <w:snapToGrid w:val="0"/>
        <w:spacing w:line="360" w:lineRule="auto"/>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成果性文件：</w:t>
      </w:r>
      <w:r>
        <w:rPr>
          <w:rFonts w:hint="eastAsia" w:asciiTheme="minorEastAsia" w:hAnsiTheme="minorEastAsia" w:eastAsiaTheme="minorEastAsia" w:cstheme="minorEastAsia"/>
          <w:sz w:val="24"/>
          <w:szCs w:val="24"/>
          <w:highlight w:val="none"/>
        </w:rPr>
        <w:t>PPP项目202</w:t>
      </w:r>
      <w:r>
        <w:rPr>
          <w:rFonts w:hint="eastAsia" w:asciiTheme="minorEastAsia" w:hAnsiTheme="minorEastAsia" w:eastAsiaTheme="minorEastAsia" w:cstheme="minorEastAsia"/>
          <w:sz w:val="24"/>
          <w:szCs w:val="24"/>
          <w:highlight w:val="none"/>
          <w:lang w:val="en-US" w:eastAsia="zh-CN"/>
        </w:rPr>
        <w:t>6</w:t>
      </w:r>
      <w:r>
        <w:rPr>
          <w:rFonts w:hint="eastAsia" w:asciiTheme="minorEastAsia" w:hAnsiTheme="minorEastAsia" w:eastAsiaTheme="minorEastAsia" w:cstheme="minorEastAsia"/>
          <w:sz w:val="24"/>
          <w:szCs w:val="24"/>
          <w:highlight w:val="none"/>
        </w:rPr>
        <w:t>年四个季度《运营期绩效评价报告》</w:t>
      </w:r>
      <w:r>
        <w:rPr>
          <w:rFonts w:hint="eastAsia" w:asciiTheme="minorEastAsia" w:hAnsiTheme="minorEastAsia" w:eastAsiaTheme="minorEastAsia" w:cstheme="minorEastAsia"/>
          <w:sz w:val="24"/>
          <w:szCs w:val="24"/>
          <w:highlight w:val="none"/>
          <w:lang w:eastAsia="zh-CN"/>
        </w:rPr>
        <w:t>；</w:t>
      </w:r>
    </w:p>
    <w:p w14:paraId="0380685D">
      <w:pPr>
        <w:keepNext w:val="0"/>
        <w:keepLines w:val="0"/>
        <w:pageBreakBefore w:val="0"/>
        <w:widowControl w:val="0"/>
        <w:overflowPunct/>
        <w:bidi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(二)运营期临时考核</w:t>
      </w:r>
    </w:p>
    <w:p w14:paraId="28AA3608">
      <w:pPr>
        <w:keepNext w:val="0"/>
        <w:keepLines w:val="0"/>
        <w:pageBreakBefore w:val="0"/>
        <w:widowControl w:val="0"/>
        <w:kinsoku/>
        <w:wordWrap/>
        <w:overflowPunct/>
        <w:topLinePunct/>
        <w:autoSpaceDE/>
        <w:autoSpaceDN/>
        <w:bidi w:val="0"/>
        <w:adjustRightInd w:val="0"/>
        <w:snapToGrid w:val="0"/>
        <w:spacing w:line="360" w:lineRule="auto"/>
        <w:ind w:firstLine="480" w:firstLineChars="200"/>
        <w:jc w:val="both"/>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highlight w:val="none"/>
        </w:rPr>
        <w:t>根据《临时考核管理办法》和甲方需求，</w:t>
      </w:r>
      <w:r>
        <w:rPr>
          <w:rFonts w:hint="eastAsia" w:asciiTheme="minorEastAsia" w:hAnsiTheme="minorEastAsia" w:eastAsiaTheme="minorEastAsia" w:cstheme="minorEastAsia"/>
          <w:sz w:val="24"/>
          <w:szCs w:val="24"/>
        </w:rPr>
        <w:t>乙方协助甲方每月开展2次临时考核，发现问题及时通告项目公司，并督促项目公司限期整改</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年末提交每个PPP项目绩效评价工作年度总结</w:t>
      </w:r>
      <w:r>
        <w:rPr>
          <w:rFonts w:hint="eastAsia" w:asciiTheme="minorEastAsia" w:hAnsiTheme="minorEastAsia" w:eastAsiaTheme="minorEastAsia" w:cstheme="minorEastAsia"/>
          <w:sz w:val="24"/>
          <w:szCs w:val="24"/>
        </w:rPr>
        <w:t>。考核频次根据甲方需求和项目公司运营情况可视情增加。每月编制《月度临时考核工作报告》,报告内容包括但不限于临时考核时间、内容、发现问题、问题整改及复核情况、未整改问题的计划完成时间、扣分情况，并于每月底前报甲方备案。</w:t>
      </w:r>
    </w:p>
    <w:p w14:paraId="25F02100">
      <w:pPr>
        <w:keepNext w:val="0"/>
        <w:keepLines w:val="0"/>
        <w:pageBreakBefore w:val="0"/>
        <w:widowControl w:val="0"/>
        <w:overflowPunct/>
        <w:bidi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(三)为甲方提供PPP项目有关政策咨询等服务。</w:t>
      </w:r>
    </w:p>
    <w:p w14:paraId="7C930AE6">
      <w:pPr>
        <w:keepNext w:val="0"/>
        <w:keepLines w:val="0"/>
        <w:pageBreakBefore w:val="0"/>
        <w:widowControl w:val="0"/>
        <w:overflowPunct/>
        <w:bidi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第二条服务期限</w:t>
      </w:r>
    </w:p>
    <w:p w14:paraId="6C51A951">
      <w:pPr>
        <w:keepNext w:val="0"/>
        <w:keepLines w:val="0"/>
        <w:pageBreakBefore w:val="0"/>
        <w:widowControl w:val="0"/>
        <w:kinsoku/>
        <w:wordWrap w:val="0"/>
        <w:overflowPunct/>
        <w:topLinePunct/>
        <w:autoSpaceDE/>
        <w:autoSpaceDN/>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自本合同签订之日起至202</w:t>
      </w:r>
      <w:r>
        <w:rPr>
          <w:rFonts w:hint="eastAsia" w:asciiTheme="minorEastAsia" w:hAnsiTheme="minorEastAsia" w:eastAsiaTheme="minorEastAsia" w:cstheme="minorEastAsia"/>
          <w:sz w:val="24"/>
          <w:szCs w:val="24"/>
          <w:lang w:val="en-US" w:eastAsia="zh-CN"/>
        </w:rPr>
        <w:t>6</w:t>
      </w:r>
      <w:r>
        <w:rPr>
          <w:rFonts w:hint="eastAsia" w:asciiTheme="minorEastAsia" w:hAnsiTheme="minorEastAsia" w:eastAsiaTheme="minorEastAsia" w:cstheme="minorEastAsia"/>
          <w:sz w:val="24"/>
          <w:szCs w:val="24"/>
        </w:rPr>
        <w:t>年四个季度的运营期绩效评价报告报甲方之日止(如后期PPP项目政策出现新变化，则按照最新政策要求报有关单位审核通过之日止)。</w:t>
      </w:r>
    </w:p>
    <w:p w14:paraId="44CD7017">
      <w:pPr>
        <w:keepNext w:val="0"/>
        <w:keepLines w:val="0"/>
        <w:pageBreakBefore w:val="0"/>
        <w:widowControl w:val="0"/>
        <w:overflowPunct/>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第三条服务费用</w:t>
      </w:r>
    </w:p>
    <w:p w14:paraId="56F04EC1">
      <w:pPr>
        <w:keepNext w:val="0"/>
        <w:keepLines w:val="0"/>
        <w:pageBreakBefore w:val="0"/>
        <w:widowControl w:val="0"/>
        <w:kinsoku/>
        <w:wordWrap w:val="0"/>
        <w:overflowPunct/>
        <w:topLinePunct/>
        <w:autoSpaceDE/>
        <w:autoSpaceDN/>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本项目咨询服务费共计人民币</w:t>
      </w:r>
      <w:r>
        <w:rPr>
          <w:rFonts w:hint="eastAsia" w:asciiTheme="minorEastAsia" w:hAnsiTheme="minorEastAsia" w:eastAsiaTheme="minorEastAsia" w:cstheme="minorEastAsia"/>
          <w:sz w:val="24"/>
          <w:szCs w:val="24"/>
          <w:u w:val="single"/>
        </w:rPr>
        <w:t>(大写</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u w:val="single"/>
        </w:rPr>
        <w:t>)</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u w:val="single"/>
          <w:lang w:val="en-US" w:eastAsia="zh-CN"/>
        </w:rPr>
        <w:t xml:space="preserve">       元</w:t>
      </w:r>
      <w:r>
        <w:rPr>
          <w:rFonts w:hint="eastAsia" w:asciiTheme="minorEastAsia" w:hAnsiTheme="minorEastAsia" w:eastAsiaTheme="minorEastAsia" w:cstheme="minorEastAsia"/>
          <w:sz w:val="24"/>
          <w:szCs w:val="24"/>
        </w:rPr>
        <w:t>)。该费用包含且不限于服务费、印刷费、交通费、税金和组织专家评审等乙方履行本协议产生的全部费用。</w:t>
      </w:r>
    </w:p>
    <w:p w14:paraId="3898C2AE">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第四条费用支付</w:t>
      </w:r>
    </w:p>
    <w:p w14:paraId="685E6949">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rPr>
        <w:t>(一)付款节点和比例</w:t>
      </w:r>
    </w:p>
    <w:p w14:paraId="0847559A">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1.乙方提交PPP项目202</w:t>
      </w:r>
      <w:r>
        <w:rPr>
          <w:rFonts w:hint="eastAsia" w:asciiTheme="minorEastAsia" w:hAnsiTheme="minorEastAsia" w:eastAsiaTheme="minorEastAsia" w:cstheme="minorEastAsia"/>
          <w:sz w:val="24"/>
          <w:szCs w:val="24"/>
          <w:highlight w:val="none"/>
          <w:lang w:val="en-US" w:eastAsia="zh-CN"/>
        </w:rPr>
        <w:t>6</w:t>
      </w:r>
      <w:r>
        <w:rPr>
          <w:rFonts w:hint="eastAsia" w:asciiTheme="minorEastAsia" w:hAnsiTheme="minorEastAsia" w:eastAsiaTheme="minorEastAsia" w:cstheme="minorEastAsia"/>
          <w:sz w:val="24"/>
          <w:szCs w:val="24"/>
          <w:highlight w:val="none"/>
        </w:rPr>
        <w:t>年第一季度《运营期绩效评价报告》后30日内，甲方向乙方支付合同总价的25%,即支付人民币</w:t>
      </w:r>
      <w:r>
        <w:rPr>
          <w:rFonts w:hint="eastAsia" w:asciiTheme="minorEastAsia" w:hAnsiTheme="minorEastAsia" w:eastAsiaTheme="minorEastAsia" w:cstheme="minorEastAsia"/>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rPr>
        <w:t>元整(¥</w:t>
      </w:r>
      <w:r>
        <w:rPr>
          <w:rFonts w:hint="eastAsia" w:asciiTheme="minorEastAsia" w:hAnsiTheme="minorEastAsia" w:eastAsiaTheme="minorEastAsia" w:cstheme="minorEastAsia"/>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rPr>
        <w:t>元)。</w:t>
      </w:r>
    </w:p>
    <w:p w14:paraId="02F43904">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2.乙方提交PPP项目202</w:t>
      </w:r>
      <w:r>
        <w:rPr>
          <w:rFonts w:hint="eastAsia" w:asciiTheme="minorEastAsia" w:hAnsiTheme="minorEastAsia" w:eastAsiaTheme="minorEastAsia" w:cstheme="minorEastAsia"/>
          <w:sz w:val="24"/>
          <w:szCs w:val="24"/>
          <w:highlight w:val="none"/>
          <w:lang w:val="en-US" w:eastAsia="zh-CN"/>
        </w:rPr>
        <w:t>6</w:t>
      </w:r>
      <w:r>
        <w:rPr>
          <w:rFonts w:hint="eastAsia" w:asciiTheme="minorEastAsia" w:hAnsiTheme="minorEastAsia" w:eastAsiaTheme="minorEastAsia" w:cstheme="minorEastAsia"/>
          <w:sz w:val="24"/>
          <w:szCs w:val="24"/>
          <w:highlight w:val="none"/>
        </w:rPr>
        <w:t>年第二季度《运营期绩效评价报告》后30日内，甲方向乙方支付合同总价的25%,即支付人民币</w:t>
      </w:r>
      <w:r>
        <w:rPr>
          <w:rFonts w:hint="eastAsia" w:asciiTheme="minorEastAsia" w:hAnsiTheme="minorEastAsia" w:eastAsiaTheme="minorEastAsia" w:cstheme="minorEastAsia"/>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rPr>
        <w:t>元整(¥</w:t>
      </w:r>
      <w:r>
        <w:rPr>
          <w:rFonts w:hint="eastAsia" w:asciiTheme="minorEastAsia" w:hAnsiTheme="minorEastAsia" w:eastAsiaTheme="minorEastAsia" w:cstheme="minorEastAsia"/>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rPr>
        <w:t>元)。</w:t>
      </w:r>
    </w:p>
    <w:p w14:paraId="304C0B2E">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3.乙方提交PPP项目202</w:t>
      </w:r>
      <w:r>
        <w:rPr>
          <w:rFonts w:hint="eastAsia" w:asciiTheme="minorEastAsia" w:hAnsiTheme="minorEastAsia" w:eastAsiaTheme="minorEastAsia" w:cstheme="minorEastAsia"/>
          <w:sz w:val="24"/>
          <w:szCs w:val="24"/>
          <w:highlight w:val="none"/>
          <w:lang w:val="en-US" w:eastAsia="zh-CN"/>
        </w:rPr>
        <w:t>6</w:t>
      </w:r>
      <w:r>
        <w:rPr>
          <w:rFonts w:hint="eastAsia" w:asciiTheme="minorEastAsia" w:hAnsiTheme="minorEastAsia" w:eastAsiaTheme="minorEastAsia" w:cstheme="minorEastAsia"/>
          <w:sz w:val="24"/>
          <w:szCs w:val="24"/>
          <w:highlight w:val="none"/>
        </w:rPr>
        <w:t>年第三季度《运营期绩效评价报告》后30日内，甲方向乙方支付合同总价的25%,即支付人民币</w:t>
      </w:r>
      <w:r>
        <w:rPr>
          <w:rFonts w:hint="eastAsia" w:asciiTheme="minorEastAsia" w:hAnsiTheme="minorEastAsia" w:eastAsiaTheme="minorEastAsia" w:cstheme="minorEastAsia"/>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rPr>
        <w:t>元整(¥</w:t>
      </w:r>
      <w:r>
        <w:rPr>
          <w:rFonts w:hint="eastAsia" w:asciiTheme="minorEastAsia" w:hAnsiTheme="minorEastAsia" w:eastAsiaTheme="minorEastAsia" w:cstheme="minorEastAsia"/>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rPr>
        <w:t>元)。</w:t>
      </w:r>
    </w:p>
    <w:p w14:paraId="13D33C52">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4.乙方提交PPP项目202</w:t>
      </w:r>
      <w:r>
        <w:rPr>
          <w:rFonts w:hint="eastAsia" w:asciiTheme="minorEastAsia" w:hAnsiTheme="minorEastAsia" w:eastAsiaTheme="minorEastAsia" w:cstheme="minorEastAsia"/>
          <w:sz w:val="24"/>
          <w:szCs w:val="24"/>
          <w:highlight w:val="none"/>
          <w:lang w:val="en-US" w:eastAsia="zh-CN"/>
        </w:rPr>
        <w:t>6</w:t>
      </w:r>
      <w:r>
        <w:rPr>
          <w:rFonts w:hint="eastAsia" w:asciiTheme="minorEastAsia" w:hAnsiTheme="minorEastAsia" w:eastAsiaTheme="minorEastAsia" w:cstheme="minorEastAsia"/>
          <w:sz w:val="24"/>
          <w:szCs w:val="24"/>
          <w:highlight w:val="none"/>
        </w:rPr>
        <w:t>年第四季度《运营期绩效评价报告》</w:t>
      </w: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lang w:val="en-US" w:eastAsia="zh-CN"/>
        </w:rPr>
        <w:t>各PPP项目绩效评价工作年度总结</w:t>
      </w:r>
      <w:r>
        <w:rPr>
          <w:rFonts w:hint="eastAsia" w:asciiTheme="minorEastAsia" w:hAnsiTheme="minorEastAsia" w:eastAsiaTheme="minorEastAsia" w:cstheme="minorEastAsia"/>
          <w:sz w:val="24"/>
          <w:szCs w:val="24"/>
          <w:highlight w:val="none"/>
        </w:rPr>
        <w:t>后30日内，甲方向乙方支付合同总价的25%,即支付人民币</w:t>
      </w:r>
      <w:r>
        <w:rPr>
          <w:rFonts w:hint="eastAsia" w:asciiTheme="minorEastAsia" w:hAnsiTheme="minorEastAsia" w:eastAsiaTheme="minorEastAsia" w:cstheme="minorEastAsia"/>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rPr>
        <w:t>元整(¥</w:t>
      </w:r>
      <w:r>
        <w:rPr>
          <w:rFonts w:hint="eastAsia" w:asciiTheme="minorEastAsia" w:hAnsiTheme="minorEastAsia" w:eastAsiaTheme="minorEastAsia" w:cstheme="minorEastAsia"/>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rPr>
        <w:t>元)。</w:t>
      </w:r>
    </w:p>
    <w:p w14:paraId="3AD5D3A1">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(二)甲方每次付款前，乙方须提供甲方财务认可的等额税务发票，否则，甲方有权拒绝付款且不承担任何责任。</w:t>
      </w:r>
    </w:p>
    <w:p w14:paraId="2EB93EB7">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(三)支付方式：银行转账。</w:t>
      </w:r>
    </w:p>
    <w:p w14:paraId="48F1B5E5">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第五条服务团队</w:t>
      </w:r>
    </w:p>
    <w:p w14:paraId="172CCDF0">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为提供优质的咨询服务，乙方指派</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为项目负责人，抽组具备资质的技术、经济等专业人员，成立咨询服务团队(详见附件1),报甲方审查备案，未经甲方同意不得擅自调整。</w:t>
      </w:r>
    </w:p>
    <w:p w14:paraId="5DF64A22">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第六条交付验收</w:t>
      </w:r>
    </w:p>
    <w:p w14:paraId="1F6171F3">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乙方按以下内容和要求提交验收咨询成果：</w:t>
      </w:r>
    </w:p>
    <w:p w14:paraId="47F3BE9F">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(一)交付内容</w:t>
      </w:r>
    </w:p>
    <w:p w14:paraId="7D0D3247">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咨询成果：</w:t>
      </w:r>
      <w:r>
        <w:rPr>
          <w:rFonts w:hint="eastAsia" w:asciiTheme="minorEastAsia" w:hAnsiTheme="minorEastAsia" w:eastAsiaTheme="minorEastAsia" w:cstheme="minorEastAsia"/>
          <w:sz w:val="24"/>
          <w:szCs w:val="24"/>
          <w:highlight w:val="none"/>
        </w:rPr>
        <w:t>202</w:t>
      </w:r>
      <w:r>
        <w:rPr>
          <w:rFonts w:hint="eastAsia" w:asciiTheme="minorEastAsia" w:hAnsiTheme="minorEastAsia" w:eastAsiaTheme="minorEastAsia" w:cstheme="minorEastAsia"/>
          <w:sz w:val="24"/>
          <w:szCs w:val="24"/>
          <w:highlight w:val="none"/>
          <w:lang w:val="en-US" w:eastAsia="zh-CN"/>
        </w:rPr>
        <w:t>6</w:t>
      </w:r>
      <w:r>
        <w:rPr>
          <w:rFonts w:hint="eastAsia" w:asciiTheme="minorEastAsia" w:hAnsiTheme="minorEastAsia" w:eastAsiaTheme="minorEastAsia" w:cstheme="minorEastAsia"/>
          <w:sz w:val="24"/>
          <w:szCs w:val="24"/>
          <w:highlight w:val="none"/>
        </w:rPr>
        <w:t>年四个季度《运营期绩效评价报告》</w:t>
      </w:r>
      <w:r>
        <w:rPr>
          <w:rFonts w:hint="eastAsia" w:asciiTheme="minorEastAsia" w:hAnsiTheme="minorEastAsia" w:eastAsiaTheme="minorEastAsia" w:cstheme="minorEastAsia"/>
          <w:sz w:val="24"/>
          <w:szCs w:val="24"/>
          <w:lang w:eastAsia="zh-CN"/>
        </w:rPr>
        <w:t>；</w:t>
      </w:r>
    </w:p>
    <w:p w14:paraId="430B26FE">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(二)交付的形式、时间及地点</w:t>
      </w:r>
    </w:p>
    <w:p w14:paraId="22D0D9E7">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形式：咨询成果以书面报告和电子资料两种形式提交(数量根据甲方需要)</w:t>
      </w:r>
    </w:p>
    <w:p w14:paraId="3C38DDAE">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时间：根据甲乙双方商定的工作计划，按有关进度执行。</w:t>
      </w:r>
    </w:p>
    <w:p w14:paraId="040C308F">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地点：西安市。</w:t>
      </w:r>
    </w:p>
    <w:p w14:paraId="466C3F64">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eastAsia="zh-CN"/>
        </w:rPr>
        <w:t>（三）</w:t>
      </w:r>
      <w:r>
        <w:rPr>
          <w:rFonts w:hint="eastAsia" w:asciiTheme="minorEastAsia" w:hAnsiTheme="minorEastAsia" w:eastAsiaTheme="minorEastAsia" w:cstheme="minorEastAsia"/>
          <w:sz w:val="24"/>
          <w:szCs w:val="24"/>
        </w:rPr>
        <w:t>成果验收</w:t>
      </w:r>
    </w:p>
    <w:p w14:paraId="798F2B8E">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向甲方提交经乙方项目负责人审核签字、公司盖章的相关季度《运营期绩效评价报告》。(如后期PPP项目政策出现新变化，则需按照最新政策要求报有关单位审核通过)</w:t>
      </w:r>
    </w:p>
    <w:p w14:paraId="55D1DDB1">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第七条甲乙双方的权利和义务</w:t>
      </w:r>
    </w:p>
    <w:p w14:paraId="42805501">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(一)甲方的权利和义务</w:t>
      </w:r>
    </w:p>
    <w:p w14:paraId="08E3ADC7">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1.甲方有权对乙方的服务进行监督检查，有权向乙方询问工作进展情况及相关工作内容，有权阐述对具体问题的意见和建议；</w:t>
      </w:r>
    </w:p>
    <w:p w14:paraId="474D21F4">
      <w:pPr>
        <w:keepNext w:val="0"/>
        <w:keepLines w:val="0"/>
        <w:pageBreakBefore w:val="0"/>
        <w:widowControl w:val="0"/>
        <w:kinsoku/>
        <w:wordWrap w:val="0"/>
        <w:overflowPunct/>
        <w:topLinePunct/>
        <w:autoSpaceDE/>
        <w:autoSpaceDN/>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2.甲方对乙方提供的咨询服务建议或报告有审议、修改及最终决策的权利；</w:t>
      </w:r>
    </w:p>
    <w:p w14:paraId="3EF09A95">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3.服务期内，若乙方服务人员不正确或不认真履行服务责任，甲方有权要求乙方更换服务人员，乙方应当在甲方规定的时间内及时更换与合同约定的资历匹配一致的人员；</w:t>
      </w:r>
    </w:p>
    <w:p w14:paraId="1D5CF971">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4.配合乙方工作，协助乙方对接项目公司等与项目有关的单位，向乙方提供相关基础资料，并保证所提供资料真实、合法、有效；</w:t>
      </w:r>
    </w:p>
    <w:p w14:paraId="3FAD6486">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5.配合乙方现场访谈、勘察等事宜，并提供相关工作便利；</w:t>
      </w:r>
    </w:p>
    <w:p w14:paraId="31A8315C">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6.在乙方无任何违约的情况下，依据本合同规定，及时足额向乙方支付咨询服务费用；</w:t>
      </w:r>
    </w:p>
    <w:p w14:paraId="59B1C4CC">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7.国家法律、法规所规定应由甲方承担的其他责任。</w:t>
      </w:r>
    </w:p>
    <w:p w14:paraId="7D92ACBF">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(二)乙方的权利和义务</w:t>
      </w:r>
    </w:p>
    <w:p w14:paraId="5236D3ED">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1.乙方在提供咨询服务过程中，有权要求甲方提供所需的项目资料，乙方对甲方提交的资料在3日内未提出异议的，视为甲方提交的资料符合项目要求；</w:t>
      </w:r>
    </w:p>
    <w:p w14:paraId="68D8C098">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2.乙方在提供咨询服务过程中有到现场访谈、勘察的权利；</w:t>
      </w:r>
    </w:p>
    <w:p w14:paraId="4401CAA6">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3.依据本合同约定，向甲方收取咨询服务费用；</w:t>
      </w:r>
    </w:p>
    <w:p w14:paraId="0E5F8201">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4.乙方应遵守其做出的服务承诺，遵循诚实、勤勉、尽职的原则，为甲方提供咨询服务，对咨询成果的真实性和质量负责；</w:t>
      </w:r>
    </w:p>
    <w:p w14:paraId="23BE9BF2">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5.乙方服务咨询形式不仅限于书面的咨询方案、报告等，也可根据甲方需求提供现场咨询等服务；</w:t>
      </w:r>
    </w:p>
    <w:p w14:paraId="5A4EC8EE">
      <w:pPr>
        <w:keepNext w:val="0"/>
        <w:keepLines w:val="0"/>
        <w:pageBreakBefore w:val="0"/>
        <w:widowControl w:val="0"/>
        <w:kinsoku/>
        <w:wordWrap w:val="0"/>
        <w:overflowPunct/>
        <w:topLinePunct/>
        <w:autoSpaceDE/>
        <w:autoSpaceDN/>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6.乙方应编制咨询服务工作计划，报甲方审查备案，主动接受甲方的监督，根据甲方要求，及时向甲方汇报工作进展；</w:t>
      </w:r>
    </w:p>
    <w:p w14:paraId="7602BFAA">
      <w:pPr>
        <w:keepNext w:val="0"/>
        <w:keepLines w:val="0"/>
        <w:pageBreakBefore w:val="0"/>
        <w:widowControl w:val="0"/>
        <w:kinsoku/>
        <w:wordWrap w:val="0"/>
        <w:overflowPunct/>
        <w:topLinePunct/>
        <w:autoSpaceDE/>
        <w:autoSpaceDN/>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7.乙方应保证服务团队人员为本项目服务的工作时间，督促团队人员正确、认真履行责任，及时高效地提供咨询服务；</w:t>
      </w:r>
    </w:p>
    <w:p w14:paraId="3F92DDDC">
      <w:pPr>
        <w:keepNext w:val="0"/>
        <w:keepLines w:val="0"/>
        <w:pageBreakBefore w:val="0"/>
        <w:widowControl w:val="0"/>
        <w:kinsoku/>
        <w:wordWrap w:val="0"/>
        <w:overflowPunct/>
        <w:topLinePunct/>
        <w:autoSpaceDE/>
        <w:autoSpaceDN/>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8.乙方所提供的服务或其中任何一部分，均不得侵犯任何第三方专利权、商标权或著作权等知识产权，并承担与此相关的一切责任；</w:t>
      </w:r>
    </w:p>
    <w:p w14:paraId="1A7F344D">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9.国家法律、法规所规定应由乙方承担的其他责任。</w:t>
      </w:r>
    </w:p>
    <w:p w14:paraId="3746AE0A">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第八条知识产权</w:t>
      </w:r>
    </w:p>
    <w:p w14:paraId="161FB230">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(一)项目执行过程中，乙方编制的所有与本项目有关工作成果的知识产权归属甲方所有。</w:t>
      </w:r>
    </w:p>
    <w:p w14:paraId="16E97B35">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(二)乙方无论出于任何目的，如在其他地方使用该成果，必须经甲方同意才可使用。否则，甲方有权要求终止涉及到该知识产权的任何使用活动，并保留追究乙方相应法律责任的权利。</w:t>
      </w:r>
    </w:p>
    <w:p w14:paraId="47BF17D4">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(三)乙方为执行本合同而提供的技术资料使用权归甲方所有。</w:t>
      </w:r>
    </w:p>
    <w:p w14:paraId="1E1E5A6B">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第九条违约责任</w:t>
      </w:r>
    </w:p>
    <w:p w14:paraId="21B49ADE">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(一)甲方的违约责任</w:t>
      </w:r>
    </w:p>
    <w:p w14:paraId="1FE6CF4A">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1.甲方违反约定，不能按时提供技术资料、工作条件或提供技术资料不准确，导致乙方无法按期完成并提交咨询成果的，乙方有权按延误的时间予以顺延。</w:t>
      </w:r>
    </w:p>
    <w:p w14:paraId="1EB51010">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2.甲方因故要求中途终止合同时，应及时书面通知乙方，乙方不退还甲方已支付的咨询费。在上一次付款节点后，乙方又开展的工作，甲方应按乙方实际完成的工作量支付相应的咨询费。</w:t>
      </w:r>
    </w:p>
    <w:p w14:paraId="1365F6ED">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3.在乙方无任何违约的情况下，甲方未在约定时间内支付本合同咨询费用的，从应付咨询费用的次日起计算，每延误一天，按本次付款节点应付费用的</w:t>
      </w:r>
      <w:r>
        <w:rPr>
          <w:rFonts w:hint="eastAsia"/>
          <w:sz w:val="24"/>
          <w:szCs w:val="24"/>
          <w:lang w:val="en-US" w:eastAsia="zh-CN"/>
        </w:rPr>
        <w:t>万分之五</w:t>
      </w:r>
      <w:r>
        <w:rPr>
          <w:rFonts w:hint="eastAsia" w:asciiTheme="minorEastAsia" w:hAnsiTheme="minorEastAsia" w:eastAsiaTheme="minorEastAsia" w:cstheme="minorEastAsia"/>
          <w:sz w:val="24"/>
          <w:szCs w:val="24"/>
          <w:lang w:eastAsia="zh-CN"/>
        </w:rPr>
        <w:t>，</w:t>
      </w:r>
      <w:bookmarkStart w:id="0" w:name="_GoBack"/>
      <w:bookmarkEnd w:id="0"/>
      <w:r>
        <w:rPr>
          <w:rFonts w:hint="eastAsia" w:asciiTheme="minorEastAsia" w:hAnsiTheme="minorEastAsia" w:eastAsiaTheme="minorEastAsia" w:cstheme="minorEastAsia"/>
          <w:sz w:val="24"/>
          <w:szCs w:val="24"/>
        </w:rPr>
        <w:t>向乙方支付违约金，违约金最高不超过本次应付款金额。</w:t>
      </w:r>
    </w:p>
    <w:p w14:paraId="09C8D4B8">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(二)乙方的违约责任</w:t>
      </w:r>
    </w:p>
    <w:p w14:paraId="6DB8AC44">
      <w:pPr>
        <w:keepNext w:val="0"/>
        <w:keepLines w:val="0"/>
        <w:pageBreakBefore w:val="0"/>
        <w:widowControl w:val="0"/>
        <w:kinsoku/>
        <w:wordWrap w:val="0"/>
        <w:overflowPunct/>
        <w:topLinePunct/>
        <w:autoSpaceDE/>
        <w:autoSpaceDN/>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1.乙方未按双方约定日期提交咨询成果时，乙方从约定提交日期的次日起计算，每延误一天，按本次付款节点应收金额的2%,作为违约金赔偿甲方，违约金最高不超过本次应付款金额。</w:t>
      </w:r>
    </w:p>
    <w:p w14:paraId="29A71306">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2.乙方故意或重大过失，提供错误或不合格信息而导致甲方损失的，乙方有责任采取补救措施，并按实际情况赔偿甲方因此而造成的损失，同时，按本合同金额的10%,作为违约金赔偿甲方。</w:t>
      </w:r>
    </w:p>
    <w:p w14:paraId="4F334AF3">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3.乙方恶意违反约定，未按合同约定提交咨询成果的，经书面催告仍不提交报告和修改报告的，甲方有权解除合同，乙方应返还已收取的咨询费用，并按照已收取咨询费30%的比例作为违约金，额外赔偿给甲方。</w:t>
      </w:r>
    </w:p>
    <w:p w14:paraId="1699060E">
      <w:pPr>
        <w:keepNext w:val="0"/>
        <w:keepLines w:val="0"/>
        <w:pageBreakBefore w:val="0"/>
        <w:widowControl w:val="0"/>
        <w:kinsoku/>
        <w:wordWrap w:val="0"/>
        <w:overflowPunct/>
        <w:topLinePunct/>
        <w:autoSpaceDE/>
        <w:autoSpaceDN/>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因乙方未按甲方要求开展临时考核、未跟踪项目公司整改情况或未将项目情况及时反馈甲方，并由此收到甲方单独发函专项书面通报提醒的，自本年度内第三次通报之日起，每通报一次(含第三次通报)扣除5%当季(违约发生所在季度)服务费作为违约金。违约金于每季度支付服务费时直接予以扣除，并以当季服务费金额为扣除上限。</w:t>
      </w:r>
    </w:p>
    <w:p w14:paraId="0438131F">
      <w:pPr>
        <w:keepNext w:val="0"/>
        <w:keepLines w:val="0"/>
        <w:pageBreakBefore w:val="0"/>
        <w:widowControl w:val="0"/>
        <w:kinsoku/>
        <w:wordWrap w:val="0"/>
        <w:overflowPunct/>
        <w:topLinePunct/>
        <w:autoSpaceDE/>
        <w:autoSpaceDN/>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5.除本条明确约定的违约责任外，乙方未按合同约定履行义务导致甲方损失的，乙方还应承担全部损失赔偿，且甲方有权视情况单方解除本合同。</w:t>
      </w:r>
    </w:p>
    <w:p w14:paraId="194896C0">
      <w:pPr>
        <w:keepNext w:val="0"/>
        <w:keepLines w:val="0"/>
        <w:pageBreakBefore w:val="0"/>
        <w:widowControl w:val="0"/>
        <w:kinsoku/>
        <w:wordWrap w:val="0"/>
        <w:overflowPunct/>
        <w:topLinePunct/>
        <w:autoSpaceDE/>
        <w:autoSpaceDN/>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第十条不可抗力</w:t>
      </w:r>
    </w:p>
    <w:p w14:paraId="196E9D6F">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(一)由于不可抗力致使本协议无法履行时，双方应及时协商解决。</w:t>
      </w:r>
    </w:p>
    <w:p w14:paraId="209DC93C">
      <w:pPr>
        <w:keepNext w:val="0"/>
        <w:keepLines w:val="0"/>
        <w:pageBreakBefore w:val="0"/>
        <w:widowControl w:val="0"/>
        <w:kinsoku/>
        <w:wordWrap w:val="0"/>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发生不可抗力事件，一方在本合同项下受不可抗力影响的义务，在不可抗力造成的延误期间自动中止，其履行期限应自动延长，延长期间为中止的期间，该方无须为此承担违约责任。如果发生不可抗力事件，致使不能实现合同目的的，双方均可以解除合同，自解除合同的书面通知送达对方时合同解除，双方均不需向对方承担违约责任。</w:t>
      </w:r>
    </w:p>
    <w:p w14:paraId="23E268B7">
      <w:pPr>
        <w:keepNext w:val="0"/>
        <w:keepLines w:val="0"/>
        <w:pageBreakBefore w:val="0"/>
        <w:widowControl w:val="0"/>
        <w:kinsoku/>
        <w:wordWrap w:val="0"/>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提出受不可抗力影响的一方，应及时书面通知对方，并在随后的15日内，向对方提供不可抗力发生和持续期间的充分证据。提出受不可抗力影响的一方，还应尽一切合理努力，排除不可抗力对履行合同造成的影响。</w:t>
      </w:r>
    </w:p>
    <w:p w14:paraId="0B74C545">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(四)发生不可抗力时，双方应立即进行磋商，寻求合理的解决方案，并且要尽一切合理努力，将不可抗力造成的损失降低到最小程度，因不可抗力造成的损失由甲乙双方各自承担。</w:t>
      </w:r>
    </w:p>
    <w:p w14:paraId="2E53414A">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宋体" w:hAnsi="宋体" w:eastAsia="宋体" w:cs="宋体"/>
          <w:sz w:val="24"/>
          <w:highlight w:val="none"/>
          <w:lang w:eastAsia="zh-CN"/>
        </w:rPr>
        <w:t>本条</w:t>
      </w:r>
      <w:r>
        <w:rPr>
          <w:rFonts w:hint="eastAsia" w:ascii="宋体" w:hAnsi="宋体" w:cs="宋体"/>
          <w:sz w:val="24"/>
          <w:highlight w:val="none"/>
        </w:rPr>
        <w:t>不可抗力：指</w:t>
      </w:r>
      <w:r>
        <w:rPr>
          <w:rFonts w:hint="eastAsia" w:ascii="宋体" w:hAnsi="宋体" w:cs="宋体"/>
          <w:sz w:val="24"/>
          <w:highlight w:val="none"/>
          <w:lang w:val="en-US" w:eastAsia="zh-CN"/>
        </w:rPr>
        <w:t>自然灾害、战争、疫情、社会异常事件等不能预见、不能避免且不能克服的客观情况</w:t>
      </w:r>
      <w:r>
        <w:rPr>
          <w:rFonts w:hint="eastAsia" w:ascii="宋体" w:hAnsi="宋体" w:eastAsia="宋体" w:cs="宋体"/>
          <w:sz w:val="24"/>
          <w:highlight w:val="none"/>
          <w:lang w:eastAsia="zh-CN"/>
        </w:rPr>
        <w:t>。</w:t>
      </w:r>
    </w:p>
    <w:p w14:paraId="10D858B7">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第十一条争议解决</w:t>
      </w:r>
    </w:p>
    <w:p w14:paraId="41F10847">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本合同在履行过程中发生的争议，由甲、乙双方当事人协商解决，协商不成的按下列第</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u w:val="single"/>
        </w:rPr>
        <w:t>(二)</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种方式解决。</w:t>
      </w:r>
    </w:p>
    <w:p w14:paraId="6157FECB">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(一)提交西安仲裁委员会仲裁。</w:t>
      </w:r>
    </w:p>
    <w:p w14:paraId="0A901CC9">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(二)依法向甲方所在地人民法院起诉。</w:t>
      </w:r>
    </w:p>
    <w:p w14:paraId="28C2F8BB">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第十二条保密</w:t>
      </w:r>
    </w:p>
    <w:p w14:paraId="776998ED">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未经对方允许，任何一方不得将对方收集的、整理的、复制的、研究的和准备的，与本合同项下工作有关的一切资料提供给任何第三方。本条规定不影响为推介本项目已经公开发布的任何项目信息。</w:t>
      </w:r>
    </w:p>
    <w:p w14:paraId="4B9ED6E8">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任何一方不得将本合同内容，包括咨询费用及支付信息等提供给任何利益冲突第三方(我国现行法律、法规中明确甲方应予以配合提供给相关机构的情况除外)。</w:t>
      </w:r>
    </w:p>
    <w:p w14:paraId="559A9AC0">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任何一方若违反该条保密条款，给对方造成经济损失，违约方应当承担违约责任与损害赔偿责任。</w:t>
      </w:r>
    </w:p>
    <w:p w14:paraId="0D88FF2C">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关于保密的规定在本合同终止后五年内有效。</w:t>
      </w:r>
    </w:p>
    <w:p w14:paraId="5CB13695">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第十三条合同生效</w:t>
      </w:r>
    </w:p>
    <w:p w14:paraId="35C39191">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(一)本合同须经甲、乙双方的法定代表人(被授权代表)在合同书上签字并加盖本单位公章后正式生效。</w:t>
      </w:r>
    </w:p>
    <w:p w14:paraId="559CB592">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(二)合同生效后，甲、乙双方须严格执行本合同条款的规定，全面履行合同。</w:t>
      </w:r>
    </w:p>
    <w:p w14:paraId="052C0307">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(三)本合同一式</w:t>
      </w:r>
      <w:r>
        <w:rPr>
          <w:rFonts w:hint="eastAsia" w:asciiTheme="minorEastAsia" w:hAnsiTheme="minorEastAsia" w:eastAsiaTheme="minorEastAsia" w:cstheme="minorEastAsia"/>
          <w:sz w:val="24"/>
          <w:szCs w:val="24"/>
          <w:lang w:val="en-US" w:eastAsia="zh-CN"/>
        </w:rPr>
        <w:t>陆</w:t>
      </w:r>
      <w:r>
        <w:rPr>
          <w:rFonts w:hint="eastAsia" w:asciiTheme="minorEastAsia" w:hAnsiTheme="minorEastAsia" w:eastAsiaTheme="minorEastAsia" w:cstheme="minorEastAsia"/>
          <w:sz w:val="24"/>
          <w:szCs w:val="24"/>
        </w:rPr>
        <w:t>份，甲乙双方各执</w:t>
      </w:r>
      <w:r>
        <w:rPr>
          <w:rFonts w:hint="eastAsia" w:asciiTheme="minorEastAsia" w:hAnsiTheme="minorEastAsia" w:eastAsiaTheme="minorEastAsia" w:cstheme="minorEastAsia"/>
          <w:sz w:val="24"/>
          <w:szCs w:val="24"/>
          <w:lang w:val="en-US" w:eastAsia="zh-CN"/>
        </w:rPr>
        <w:t>叁</w:t>
      </w:r>
      <w:r>
        <w:rPr>
          <w:rFonts w:hint="eastAsia" w:asciiTheme="minorEastAsia" w:hAnsiTheme="minorEastAsia" w:eastAsiaTheme="minorEastAsia" w:cstheme="minorEastAsia"/>
          <w:sz w:val="24"/>
          <w:szCs w:val="24"/>
        </w:rPr>
        <w:t>份，具有同等法律效力。</w:t>
      </w:r>
    </w:p>
    <w:p w14:paraId="55D7A4D8">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第十四条其它事项</w:t>
      </w:r>
    </w:p>
    <w:p w14:paraId="0BCF0F03">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(一)乙方不得将本合同服务项目转让、分包给其它单位或个人。</w:t>
      </w:r>
    </w:p>
    <w:p w14:paraId="5E9539A8">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(二)本合同尾部甲、乙双方的地址视为双方联系的固定通讯地址，若在履行本合同中双方有书面信函往来，该地址为双方法定地址。若其中任何一方变更住所地地址的，应在五日之内通知对方。</w:t>
      </w:r>
    </w:p>
    <w:p w14:paraId="2B42A451">
      <w:pPr>
        <w:keepNext w:val="0"/>
        <w:keepLines w:val="0"/>
        <w:pageBreakBefore w:val="0"/>
        <w:widowControl w:val="0"/>
        <w:kinsoku/>
        <w:wordWrap w:val="0"/>
        <w:overflowPunct w:val="0"/>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本合同未尽事宜，由甲、乙双方协商并签订补充合同。本合同附件、补充合同及双方认可的涉及主要内容来往电报、传真、会议纪要等，均为本合同的组成部分，与本合同具有同等法律效力。如补充合同条款与本合同有不一致的，以补充合同为准。</w:t>
      </w:r>
    </w:p>
    <w:p w14:paraId="31BE89B3">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p>
    <w:p w14:paraId="57919A4D">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4"/>
          <w:szCs w:val="24"/>
        </w:rPr>
        <w:t>附件：绩效评价咨询服务人员名单</w:t>
      </w:r>
    </w:p>
    <w:p w14:paraId="438E1686">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br w:type="page"/>
      </w:r>
    </w:p>
    <w:p w14:paraId="1DF751E2">
      <w:pPr>
        <w:keepNext w:val="0"/>
        <w:keepLines w:val="0"/>
        <w:pageBreakBefore w:val="0"/>
        <w:widowControl/>
        <w:tabs>
          <w:tab w:val="left" w:pos="4410"/>
        </w:tabs>
        <w:kinsoku w:val="0"/>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甲方：西安市住房和城乡建设局</w:t>
      </w:r>
      <w:r>
        <w:rPr>
          <w:rFonts w:hint="eastAsia" w:asciiTheme="minorEastAsia" w:hAnsiTheme="minorEastAsia" w:eastAsiaTheme="minorEastAsia" w:cstheme="minorEastAsia"/>
          <w:sz w:val="24"/>
          <w:szCs w:val="24"/>
          <w:lang w:val="en-US" w:eastAsia="zh-CN"/>
        </w:rPr>
        <w:tab/>
      </w:r>
      <w:r>
        <w:rPr>
          <w:rFonts w:hint="eastAsia" w:asciiTheme="minorEastAsia" w:hAnsiTheme="minorEastAsia" w:eastAsiaTheme="minorEastAsia" w:cstheme="minorEastAsia"/>
          <w:sz w:val="24"/>
          <w:szCs w:val="24"/>
          <w:lang w:eastAsia="zh-CN"/>
        </w:rPr>
        <w:t>乙</w:t>
      </w:r>
      <w:r>
        <w:rPr>
          <w:rFonts w:hint="eastAsia" w:asciiTheme="minorEastAsia" w:hAnsiTheme="minorEastAsia" w:eastAsiaTheme="minorEastAsia" w:cstheme="minorEastAsia"/>
          <w:sz w:val="24"/>
          <w:szCs w:val="24"/>
        </w:rPr>
        <w:t>方：(盖章)</w:t>
      </w:r>
    </w:p>
    <w:p w14:paraId="3805057F">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(盖章)</w:t>
      </w:r>
    </w:p>
    <w:p w14:paraId="226EDB16">
      <w:pPr>
        <w:keepNext w:val="0"/>
        <w:keepLines w:val="0"/>
        <w:pageBreakBefore w:val="0"/>
        <w:widowControl/>
        <w:tabs>
          <w:tab w:val="left" w:pos="4410"/>
        </w:tabs>
        <w:kinsoku w:val="0"/>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地址：</w:t>
      </w:r>
      <w:r>
        <w:rPr>
          <w:rFonts w:hint="eastAsia" w:asciiTheme="minorEastAsia" w:hAnsiTheme="minorEastAsia" w:eastAsiaTheme="minorEastAsia" w:cstheme="minorEastAsia"/>
          <w:sz w:val="24"/>
          <w:szCs w:val="24"/>
          <w:lang w:val="en-US" w:eastAsia="zh-CN"/>
        </w:rPr>
        <w:tab/>
      </w:r>
      <w:r>
        <w:rPr>
          <w:rFonts w:hint="eastAsia" w:asciiTheme="minorEastAsia" w:hAnsiTheme="minorEastAsia" w:eastAsiaTheme="minorEastAsia" w:cstheme="minorEastAsia"/>
          <w:sz w:val="24"/>
          <w:szCs w:val="24"/>
        </w:rPr>
        <w:t>地址：</w:t>
      </w:r>
    </w:p>
    <w:p w14:paraId="4B279D05">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sz w:val="24"/>
          <w:szCs w:val="24"/>
        </w:rPr>
        <w:sectPr>
          <w:footerReference r:id="rId5" w:type="default"/>
          <w:pgSz w:w="11900" w:h="16840"/>
          <w:pgMar w:top="1431" w:right="1786" w:bottom="1429" w:left="1785" w:header="0" w:footer="1077" w:gutter="0"/>
          <w:cols w:equalWidth="0" w:num="1">
            <w:col w:w="9064"/>
          </w:cols>
        </w:sectPr>
      </w:pPr>
    </w:p>
    <w:p w14:paraId="32CD269B">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sz w:val="24"/>
          <w:szCs w:val="24"/>
        </w:rPr>
      </w:pPr>
    </w:p>
    <w:p w14:paraId="6FA6E49E">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法定代表人：</w:t>
      </w:r>
    </w:p>
    <w:p w14:paraId="630C45B0">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sz w:val="24"/>
          <w:szCs w:val="24"/>
        </w:rPr>
      </w:pPr>
    </w:p>
    <w:p w14:paraId="744A7E63">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被授权代表：</w:t>
      </w:r>
    </w:p>
    <w:p w14:paraId="2DE6E97C">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电话：</w:t>
      </w:r>
    </w:p>
    <w:p w14:paraId="44EC4A7D">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传真：</w:t>
      </w:r>
    </w:p>
    <w:p w14:paraId="12AD6883">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开户银行：</w:t>
      </w:r>
    </w:p>
    <w:p w14:paraId="7B298EB9">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银行账号：</w:t>
      </w:r>
    </w:p>
    <w:p w14:paraId="747F70C8">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日期：</w:t>
      </w:r>
    </w:p>
    <w:p w14:paraId="4B36B81C">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br w:type="column"/>
      </w:r>
    </w:p>
    <w:p w14:paraId="0172D3BC">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法定代表人</w:t>
      </w:r>
      <w:r>
        <w:rPr>
          <w:rFonts w:hint="eastAsia" w:asciiTheme="minorEastAsia" w:hAnsiTheme="minorEastAsia" w:eastAsiaTheme="minorEastAsia" w:cstheme="minorEastAsia"/>
          <w:sz w:val="24"/>
          <w:szCs w:val="24"/>
          <w:lang w:eastAsia="zh-CN"/>
        </w:rPr>
        <w:t>：</w:t>
      </w:r>
    </w:p>
    <w:p w14:paraId="7ADA8100">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sz w:val="24"/>
          <w:szCs w:val="24"/>
        </w:rPr>
      </w:pPr>
    </w:p>
    <w:p w14:paraId="72A32658">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被授权代表：</w:t>
      </w:r>
    </w:p>
    <w:p w14:paraId="3FF1CEFC">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电话：</w:t>
      </w:r>
    </w:p>
    <w:p w14:paraId="5F2077E0">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传真：</w:t>
      </w:r>
    </w:p>
    <w:p w14:paraId="3B32F9B1">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开户银行：</w:t>
      </w:r>
    </w:p>
    <w:p w14:paraId="17FF8D35">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银行账号：</w:t>
      </w:r>
    </w:p>
    <w:p w14:paraId="17A5A1AF">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日期：</w:t>
      </w:r>
    </w:p>
    <w:p w14:paraId="5804C7B1">
      <w:pPr>
        <w:spacing w:line="170" w:lineRule="auto"/>
        <w:rPr>
          <w:rFonts w:hint="eastAsia" w:asciiTheme="minorEastAsia" w:hAnsiTheme="minorEastAsia" w:eastAsiaTheme="minorEastAsia" w:cstheme="minorEastAsia"/>
          <w:sz w:val="28"/>
          <w:szCs w:val="28"/>
        </w:rPr>
        <w:sectPr>
          <w:type w:val="continuous"/>
          <w:pgSz w:w="11900" w:h="16840"/>
          <w:pgMar w:top="1431" w:right="1051" w:bottom="1429" w:left="1785" w:header="0" w:footer="2013" w:gutter="0"/>
          <w:cols w:equalWidth="0" w:num="2">
            <w:col w:w="4375" w:space="100"/>
            <w:col w:w="4589"/>
          </w:cols>
        </w:sectPr>
      </w:pPr>
    </w:p>
    <w:p w14:paraId="17C2421C">
      <w:pPr>
        <w:pStyle w:val="2"/>
        <w:spacing w:before="100" w:line="219" w:lineRule="auto"/>
        <w:ind w:left="174"/>
        <w:rPr>
          <w:sz w:val="31"/>
          <w:szCs w:val="31"/>
        </w:rPr>
      </w:pPr>
      <w:r>
        <w:rPr>
          <w:spacing w:val="15"/>
          <w:sz w:val="31"/>
          <w:szCs w:val="31"/>
        </w:rPr>
        <w:t>附件1:</w:t>
      </w:r>
    </w:p>
    <w:p w14:paraId="3E537A25">
      <w:pPr>
        <w:pStyle w:val="2"/>
        <w:spacing w:before="190" w:line="369" w:lineRule="auto"/>
        <w:ind w:right="778"/>
        <w:jc w:val="center"/>
        <w:rPr>
          <w:sz w:val="31"/>
          <w:szCs w:val="31"/>
        </w:rPr>
      </w:pPr>
      <w:r>
        <w:rPr>
          <w:b/>
          <w:bCs/>
          <w:spacing w:val="-5"/>
          <w:sz w:val="31"/>
          <w:szCs w:val="31"/>
        </w:rPr>
        <w:t>绩效评价咨询服务人员名单</w:t>
      </w:r>
    </w:p>
    <w:tbl>
      <w:tblPr>
        <w:tblStyle w:val="7"/>
        <w:tblW w:w="866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74"/>
        <w:gridCol w:w="1278"/>
        <w:gridCol w:w="1239"/>
        <w:gridCol w:w="1488"/>
        <w:gridCol w:w="1478"/>
        <w:gridCol w:w="2312"/>
      </w:tblGrid>
      <w:tr w14:paraId="621091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4" w:hRule="atLeast"/>
        </w:trPr>
        <w:tc>
          <w:tcPr>
            <w:tcW w:w="874" w:type="dxa"/>
            <w:vAlign w:val="top"/>
          </w:tcPr>
          <w:p w14:paraId="48017482">
            <w:pPr>
              <w:pStyle w:val="8"/>
              <w:spacing w:before="234" w:line="219" w:lineRule="auto"/>
              <w:ind w:left="195"/>
            </w:pPr>
            <w:r>
              <w:rPr>
                <w:spacing w:val="14"/>
              </w:rPr>
              <w:t>姓名</w:t>
            </w:r>
          </w:p>
        </w:tc>
        <w:tc>
          <w:tcPr>
            <w:tcW w:w="1278" w:type="dxa"/>
            <w:vAlign w:val="top"/>
          </w:tcPr>
          <w:p w14:paraId="1C0FBC9C">
            <w:pPr>
              <w:pStyle w:val="8"/>
              <w:spacing w:before="64" w:line="219" w:lineRule="auto"/>
              <w:ind w:left="110"/>
            </w:pPr>
            <w:r>
              <w:rPr>
                <w:spacing w:val="1"/>
              </w:rPr>
              <w:t>资格/注册</w:t>
            </w:r>
          </w:p>
          <w:p w14:paraId="1452023C">
            <w:pPr>
              <w:pStyle w:val="8"/>
              <w:spacing w:before="35" w:line="219" w:lineRule="auto"/>
              <w:ind w:left="400"/>
            </w:pPr>
            <w:r>
              <w:rPr>
                <w:spacing w:val="7"/>
              </w:rPr>
              <w:t>证书</w:t>
            </w:r>
          </w:p>
        </w:tc>
        <w:tc>
          <w:tcPr>
            <w:tcW w:w="1239" w:type="dxa"/>
            <w:vAlign w:val="top"/>
          </w:tcPr>
          <w:p w14:paraId="52F67B4E">
            <w:pPr>
              <w:pStyle w:val="8"/>
              <w:spacing w:before="237" w:line="221" w:lineRule="auto"/>
              <w:ind w:left="382"/>
            </w:pPr>
            <w:r>
              <w:rPr>
                <w:spacing w:val="5"/>
              </w:rPr>
              <w:t>职称</w:t>
            </w:r>
          </w:p>
        </w:tc>
        <w:tc>
          <w:tcPr>
            <w:tcW w:w="1488" w:type="dxa"/>
            <w:vAlign w:val="top"/>
          </w:tcPr>
          <w:p w14:paraId="4FECBC76">
            <w:pPr>
              <w:pStyle w:val="8"/>
              <w:spacing w:before="235" w:line="220" w:lineRule="auto"/>
              <w:ind w:left="273"/>
            </w:pPr>
            <w:r>
              <w:rPr>
                <w:spacing w:val="3"/>
              </w:rPr>
              <w:t>岗位职责</w:t>
            </w:r>
          </w:p>
        </w:tc>
        <w:tc>
          <w:tcPr>
            <w:tcW w:w="1478" w:type="dxa"/>
            <w:vAlign w:val="top"/>
          </w:tcPr>
          <w:p w14:paraId="0AFA0EB0">
            <w:pPr>
              <w:pStyle w:val="8"/>
              <w:spacing w:before="237" w:line="221" w:lineRule="auto"/>
              <w:ind w:left="275"/>
            </w:pPr>
            <w:r>
              <w:rPr>
                <w:spacing w:val="-2"/>
              </w:rPr>
              <w:t>联系电话</w:t>
            </w:r>
          </w:p>
        </w:tc>
        <w:tc>
          <w:tcPr>
            <w:tcW w:w="2312" w:type="dxa"/>
            <w:vAlign w:val="top"/>
          </w:tcPr>
          <w:p w14:paraId="11248F57">
            <w:pPr>
              <w:pStyle w:val="8"/>
              <w:spacing w:before="235" w:line="221" w:lineRule="auto"/>
              <w:ind w:left="917"/>
            </w:pPr>
            <w:r>
              <w:rPr>
                <w:spacing w:val="5"/>
              </w:rPr>
              <w:t>备注</w:t>
            </w:r>
          </w:p>
        </w:tc>
      </w:tr>
      <w:tr w14:paraId="7DC846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9" w:hRule="atLeast"/>
        </w:trPr>
        <w:tc>
          <w:tcPr>
            <w:tcW w:w="874" w:type="dxa"/>
            <w:vAlign w:val="top"/>
          </w:tcPr>
          <w:p w14:paraId="054AE1C0">
            <w:pPr>
              <w:pStyle w:val="8"/>
              <w:spacing w:before="118" w:line="221" w:lineRule="auto"/>
              <w:ind w:left="195"/>
            </w:pPr>
          </w:p>
        </w:tc>
        <w:tc>
          <w:tcPr>
            <w:tcW w:w="1278" w:type="dxa"/>
            <w:vAlign w:val="top"/>
          </w:tcPr>
          <w:p w14:paraId="770983F9">
            <w:pPr>
              <w:pStyle w:val="8"/>
              <w:spacing w:before="124" w:line="224" w:lineRule="auto"/>
              <w:ind w:left="571"/>
            </w:pPr>
          </w:p>
        </w:tc>
        <w:tc>
          <w:tcPr>
            <w:tcW w:w="1239" w:type="dxa"/>
            <w:vAlign w:val="top"/>
          </w:tcPr>
          <w:p w14:paraId="5703A5FA">
            <w:pPr>
              <w:pStyle w:val="8"/>
              <w:spacing w:before="124" w:line="224" w:lineRule="auto"/>
              <w:ind w:left="552"/>
            </w:pPr>
          </w:p>
        </w:tc>
        <w:tc>
          <w:tcPr>
            <w:tcW w:w="1488" w:type="dxa"/>
            <w:vAlign w:val="top"/>
          </w:tcPr>
          <w:p w14:paraId="14B4080B">
            <w:pPr>
              <w:pStyle w:val="8"/>
              <w:spacing w:before="118" w:line="220" w:lineRule="auto"/>
              <w:ind w:left="503"/>
            </w:pPr>
          </w:p>
        </w:tc>
        <w:tc>
          <w:tcPr>
            <w:tcW w:w="1478" w:type="dxa"/>
            <w:vAlign w:val="top"/>
          </w:tcPr>
          <w:p w14:paraId="1F7EB680">
            <w:pPr>
              <w:pStyle w:val="8"/>
              <w:spacing w:before="139"/>
              <w:ind w:left="96"/>
            </w:pPr>
          </w:p>
        </w:tc>
        <w:tc>
          <w:tcPr>
            <w:tcW w:w="2312" w:type="dxa"/>
            <w:vAlign w:val="top"/>
          </w:tcPr>
          <w:p w14:paraId="3230C027">
            <w:pPr>
              <w:rPr>
                <w:rFonts w:ascii="Arial"/>
                <w:sz w:val="21"/>
              </w:rPr>
            </w:pPr>
          </w:p>
        </w:tc>
      </w:tr>
      <w:tr w14:paraId="6BA762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9" w:hRule="atLeast"/>
        </w:trPr>
        <w:tc>
          <w:tcPr>
            <w:tcW w:w="874" w:type="dxa"/>
            <w:vAlign w:val="top"/>
          </w:tcPr>
          <w:p w14:paraId="396D6178">
            <w:pPr>
              <w:rPr>
                <w:rFonts w:ascii="Arial"/>
                <w:sz w:val="21"/>
              </w:rPr>
            </w:pPr>
          </w:p>
        </w:tc>
        <w:tc>
          <w:tcPr>
            <w:tcW w:w="1278" w:type="dxa"/>
            <w:vAlign w:val="top"/>
          </w:tcPr>
          <w:p w14:paraId="639C7F01">
            <w:pPr>
              <w:rPr>
                <w:rFonts w:ascii="Arial"/>
                <w:sz w:val="21"/>
              </w:rPr>
            </w:pPr>
          </w:p>
        </w:tc>
        <w:tc>
          <w:tcPr>
            <w:tcW w:w="1239" w:type="dxa"/>
            <w:vAlign w:val="top"/>
          </w:tcPr>
          <w:p w14:paraId="67257D95">
            <w:pPr>
              <w:rPr>
                <w:rFonts w:ascii="Arial"/>
                <w:sz w:val="21"/>
              </w:rPr>
            </w:pPr>
          </w:p>
        </w:tc>
        <w:tc>
          <w:tcPr>
            <w:tcW w:w="1488" w:type="dxa"/>
            <w:vAlign w:val="top"/>
          </w:tcPr>
          <w:p w14:paraId="6540A748">
            <w:pPr>
              <w:pStyle w:val="8"/>
              <w:spacing w:before="220" w:line="175" w:lineRule="auto"/>
              <w:ind w:left="394"/>
            </w:pPr>
          </w:p>
        </w:tc>
        <w:tc>
          <w:tcPr>
            <w:tcW w:w="1478" w:type="dxa"/>
            <w:vAlign w:val="top"/>
          </w:tcPr>
          <w:p w14:paraId="41FD2848">
            <w:pPr>
              <w:rPr>
                <w:rFonts w:ascii="Arial"/>
                <w:sz w:val="21"/>
              </w:rPr>
            </w:pPr>
          </w:p>
        </w:tc>
        <w:tc>
          <w:tcPr>
            <w:tcW w:w="2312" w:type="dxa"/>
            <w:vAlign w:val="top"/>
          </w:tcPr>
          <w:p w14:paraId="4D535ED2">
            <w:pPr>
              <w:rPr>
                <w:rFonts w:ascii="Arial"/>
                <w:sz w:val="21"/>
              </w:rPr>
            </w:pPr>
          </w:p>
        </w:tc>
      </w:tr>
      <w:tr w14:paraId="0A026E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trPr>
        <w:tc>
          <w:tcPr>
            <w:tcW w:w="874" w:type="dxa"/>
            <w:vAlign w:val="top"/>
          </w:tcPr>
          <w:p w14:paraId="35A1D27C">
            <w:pPr>
              <w:rPr>
                <w:rFonts w:ascii="Arial"/>
                <w:sz w:val="21"/>
              </w:rPr>
            </w:pPr>
          </w:p>
        </w:tc>
        <w:tc>
          <w:tcPr>
            <w:tcW w:w="1278" w:type="dxa"/>
            <w:vAlign w:val="top"/>
          </w:tcPr>
          <w:p w14:paraId="55F1012A">
            <w:pPr>
              <w:rPr>
                <w:rFonts w:ascii="Arial"/>
                <w:sz w:val="21"/>
              </w:rPr>
            </w:pPr>
          </w:p>
        </w:tc>
        <w:tc>
          <w:tcPr>
            <w:tcW w:w="1239" w:type="dxa"/>
            <w:vAlign w:val="top"/>
          </w:tcPr>
          <w:p w14:paraId="5C5C9A90">
            <w:pPr>
              <w:rPr>
                <w:rFonts w:ascii="Arial"/>
                <w:sz w:val="21"/>
              </w:rPr>
            </w:pPr>
          </w:p>
        </w:tc>
        <w:tc>
          <w:tcPr>
            <w:tcW w:w="1488" w:type="dxa"/>
            <w:vAlign w:val="top"/>
          </w:tcPr>
          <w:p w14:paraId="1480F4D4">
            <w:pPr>
              <w:rPr>
                <w:rFonts w:ascii="Arial"/>
                <w:sz w:val="21"/>
              </w:rPr>
            </w:pPr>
          </w:p>
        </w:tc>
        <w:tc>
          <w:tcPr>
            <w:tcW w:w="1478" w:type="dxa"/>
            <w:vAlign w:val="top"/>
          </w:tcPr>
          <w:p w14:paraId="0ED34543">
            <w:pPr>
              <w:rPr>
                <w:rFonts w:ascii="Arial"/>
                <w:sz w:val="21"/>
              </w:rPr>
            </w:pPr>
          </w:p>
        </w:tc>
        <w:tc>
          <w:tcPr>
            <w:tcW w:w="2312" w:type="dxa"/>
            <w:vAlign w:val="top"/>
          </w:tcPr>
          <w:p w14:paraId="485B70F8">
            <w:pPr>
              <w:rPr>
                <w:rFonts w:ascii="Arial"/>
                <w:sz w:val="21"/>
              </w:rPr>
            </w:pPr>
          </w:p>
        </w:tc>
      </w:tr>
      <w:tr w14:paraId="55BDE4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trPr>
        <w:tc>
          <w:tcPr>
            <w:tcW w:w="874" w:type="dxa"/>
            <w:vAlign w:val="top"/>
          </w:tcPr>
          <w:p w14:paraId="30438D3B">
            <w:pPr>
              <w:rPr>
                <w:rFonts w:ascii="Arial"/>
                <w:sz w:val="21"/>
              </w:rPr>
            </w:pPr>
          </w:p>
        </w:tc>
        <w:tc>
          <w:tcPr>
            <w:tcW w:w="1278" w:type="dxa"/>
            <w:vAlign w:val="top"/>
          </w:tcPr>
          <w:p w14:paraId="56F3A8B7">
            <w:pPr>
              <w:rPr>
                <w:rFonts w:ascii="Arial"/>
                <w:sz w:val="21"/>
              </w:rPr>
            </w:pPr>
          </w:p>
        </w:tc>
        <w:tc>
          <w:tcPr>
            <w:tcW w:w="1239" w:type="dxa"/>
            <w:vAlign w:val="top"/>
          </w:tcPr>
          <w:p w14:paraId="044AC763">
            <w:pPr>
              <w:rPr>
                <w:rFonts w:ascii="Arial"/>
                <w:sz w:val="21"/>
              </w:rPr>
            </w:pPr>
          </w:p>
        </w:tc>
        <w:tc>
          <w:tcPr>
            <w:tcW w:w="1488" w:type="dxa"/>
            <w:vAlign w:val="top"/>
          </w:tcPr>
          <w:p w14:paraId="563ADC88">
            <w:pPr>
              <w:rPr>
                <w:rFonts w:ascii="Arial"/>
                <w:sz w:val="21"/>
              </w:rPr>
            </w:pPr>
          </w:p>
        </w:tc>
        <w:tc>
          <w:tcPr>
            <w:tcW w:w="1478" w:type="dxa"/>
            <w:vAlign w:val="top"/>
          </w:tcPr>
          <w:p w14:paraId="2A53E38B">
            <w:pPr>
              <w:rPr>
                <w:rFonts w:ascii="Arial"/>
                <w:sz w:val="21"/>
              </w:rPr>
            </w:pPr>
          </w:p>
        </w:tc>
        <w:tc>
          <w:tcPr>
            <w:tcW w:w="2312" w:type="dxa"/>
            <w:vAlign w:val="top"/>
          </w:tcPr>
          <w:p w14:paraId="5AB786EA">
            <w:pPr>
              <w:rPr>
                <w:rFonts w:ascii="Arial"/>
                <w:sz w:val="21"/>
              </w:rPr>
            </w:pPr>
          </w:p>
        </w:tc>
      </w:tr>
      <w:tr w14:paraId="72579D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trPr>
        <w:tc>
          <w:tcPr>
            <w:tcW w:w="874" w:type="dxa"/>
            <w:vAlign w:val="top"/>
          </w:tcPr>
          <w:p w14:paraId="1D12AE46">
            <w:pPr>
              <w:rPr>
                <w:rFonts w:ascii="Arial"/>
                <w:sz w:val="21"/>
              </w:rPr>
            </w:pPr>
          </w:p>
        </w:tc>
        <w:tc>
          <w:tcPr>
            <w:tcW w:w="1278" w:type="dxa"/>
            <w:vAlign w:val="top"/>
          </w:tcPr>
          <w:p w14:paraId="5A2C0F54">
            <w:pPr>
              <w:rPr>
                <w:rFonts w:ascii="Arial"/>
                <w:sz w:val="21"/>
              </w:rPr>
            </w:pPr>
          </w:p>
        </w:tc>
        <w:tc>
          <w:tcPr>
            <w:tcW w:w="1239" w:type="dxa"/>
            <w:vAlign w:val="top"/>
          </w:tcPr>
          <w:p w14:paraId="0CC5F6A1">
            <w:pPr>
              <w:rPr>
                <w:rFonts w:ascii="Arial"/>
                <w:sz w:val="21"/>
              </w:rPr>
            </w:pPr>
          </w:p>
        </w:tc>
        <w:tc>
          <w:tcPr>
            <w:tcW w:w="1488" w:type="dxa"/>
            <w:vAlign w:val="top"/>
          </w:tcPr>
          <w:p w14:paraId="24B2DB8D">
            <w:pPr>
              <w:rPr>
                <w:rFonts w:ascii="Arial"/>
                <w:sz w:val="21"/>
              </w:rPr>
            </w:pPr>
          </w:p>
        </w:tc>
        <w:tc>
          <w:tcPr>
            <w:tcW w:w="1478" w:type="dxa"/>
            <w:vAlign w:val="top"/>
          </w:tcPr>
          <w:p w14:paraId="4A4E6A03">
            <w:pPr>
              <w:rPr>
                <w:rFonts w:ascii="Arial"/>
                <w:sz w:val="21"/>
              </w:rPr>
            </w:pPr>
          </w:p>
        </w:tc>
        <w:tc>
          <w:tcPr>
            <w:tcW w:w="2312" w:type="dxa"/>
            <w:vAlign w:val="top"/>
          </w:tcPr>
          <w:p w14:paraId="68F7B6D1">
            <w:pPr>
              <w:rPr>
                <w:rFonts w:ascii="Arial"/>
                <w:sz w:val="21"/>
              </w:rPr>
            </w:pPr>
          </w:p>
        </w:tc>
      </w:tr>
      <w:tr w14:paraId="59FAF5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trPr>
        <w:tc>
          <w:tcPr>
            <w:tcW w:w="874" w:type="dxa"/>
            <w:vAlign w:val="top"/>
          </w:tcPr>
          <w:p w14:paraId="4567D43B">
            <w:pPr>
              <w:rPr>
                <w:rFonts w:ascii="Arial"/>
                <w:sz w:val="21"/>
              </w:rPr>
            </w:pPr>
          </w:p>
        </w:tc>
        <w:tc>
          <w:tcPr>
            <w:tcW w:w="1278" w:type="dxa"/>
            <w:vAlign w:val="top"/>
          </w:tcPr>
          <w:p w14:paraId="7F7DC392">
            <w:pPr>
              <w:rPr>
                <w:rFonts w:ascii="Arial"/>
                <w:sz w:val="21"/>
              </w:rPr>
            </w:pPr>
          </w:p>
        </w:tc>
        <w:tc>
          <w:tcPr>
            <w:tcW w:w="1239" w:type="dxa"/>
            <w:vAlign w:val="top"/>
          </w:tcPr>
          <w:p w14:paraId="422E0F13">
            <w:pPr>
              <w:rPr>
                <w:rFonts w:ascii="Arial"/>
                <w:sz w:val="21"/>
              </w:rPr>
            </w:pPr>
          </w:p>
        </w:tc>
        <w:tc>
          <w:tcPr>
            <w:tcW w:w="1488" w:type="dxa"/>
            <w:vAlign w:val="top"/>
          </w:tcPr>
          <w:p w14:paraId="4B73A01E">
            <w:pPr>
              <w:rPr>
                <w:rFonts w:ascii="Arial"/>
                <w:sz w:val="21"/>
              </w:rPr>
            </w:pPr>
          </w:p>
        </w:tc>
        <w:tc>
          <w:tcPr>
            <w:tcW w:w="1478" w:type="dxa"/>
            <w:vAlign w:val="top"/>
          </w:tcPr>
          <w:p w14:paraId="3F0B2397">
            <w:pPr>
              <w:rPr>
                <w:rFonts w:ascii="Arial"/>
                <w:sz w:val="21"/>
              </w:rPr>
            </w:pPr>
          </w:p>
        </w:tc>
        <w:tc>
          <w:tcPr>
            <w:tcW w:w="2312" w:type="dxa"/>
            <w:vAlign w:val="top"/>
          </w:tcPr>
          <w:p w14:paraId="09DF3CFC">
            <w:pPr>
              <w:rPr>
                <w:rFonts w:ascii="Arial"/>
                <w:sz w:val="21"/>
              </w:rPr>
            </w:pPr>
          </w:p>
        </w:tc>
      </w:tr>
    </w:tbl>
    <w:p w14:paraId="71DC66FA">
      <w:pPr>
        <w:rPr>
          <w:rFonts w:ascii="Arial"/>
          <w:sz w:val="21"/>
        </w:rPr>
      </w:pPr>
    </w:p>
    <w:sectPr>
      <w:footerReference r:id="rId6" w:type="default"/>
      <w:pgSz w:w="11900" w:h="16840"/>
      <w:pgMar w:top="1431" w:right="1358" w:bottom="1429" w:left="1735" w:header="0" w:footer="1983"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F5A089">
    <w:pPr>
      <w:pStyle w:val="2"/>
      <w:spacing w:before="1" w:line="233" w:lineRule="auto"/>
      <w:ind w:left="7965"/>
      <w:rPr>
        <w:sz w:val="26"/>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C7F323">
    <w:pPr>
      <w:pStyle w:val="2"/>
      <w:spacing w:before="1" w:line="233" w:lineRule="auto"/>
      <w:jc w:val="right"/>
      <w:rPr>
        <w:sz w:val="26"/>
        <w:szCs w:val="2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trackRevisions w:val="1"/>
  <w:documentProtection w:enforcement="0"/>
  <w:defaultTabStop w:val="499"/>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E845A37"/>
    <w:rsid w:val="0EA72FB5"/>
    <w:rsid w:val="0F9F6D87"/>
    <w:rsid w:val="11097C03"/>
    <w:rsid w:val="19E51499"/>
    <w:rsid w:val="1CD02E6C"/>
    <w:rsid w:val="1ED66283"/>
    <w:rsid w:val="233F1C1A"/>
    <w:rsid w:val="23631C5F"/>
    <w:rsid w:val="23751BE7"/>
    <w:rsid w:val="23965F92"/>
    <w:rsid w:val="2E043032"/>
    <w:rsid w:val="2EBA4C39"/>
    <w:rsid w:val="300F506A"/>
    <w:rsid w:val="36175992"/>
    <w:rsid w:val="3EBC012F"/>
    <w:rsid w:val="40734E46"/>
    <w:rsid w:val="467A1037"/>
    <w:rsid w:val="4AEC3506"/>
    <w:rsid w:val="4CCA0A92"/>
    <w:rsid w:val="502E5BFA"/>
    <w:rsid w:val="53762B86"/>
    <w:rsid w:val="6DF23C67"/>
    <w:rsid w:val="715E6630"/>
    <w:rsid w:val="716C7DB8"/>
    <w:rsid w:val="767461EA"/>
    <w:rsid w:val="78225878"/>
    <w:rsid w:val="7D5510B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34"/>
      <w:szCs w:val="34"/>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Table Text"/>
    <w:basedOn w:val="1"/>
    <w:semiHidden/>
    <w:qFormat/>
    <w:uiPriority w:val="0"/>
    <w:rPr>
      <w:rFonts w:ascii="宋体" w:hAnsi="宋体" w:eastAsia="宋体" w:cs="宋体"/>
      <w:sz w:val="23"/>
      <w:szCs w:val="23"/>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Words>4275</Words>
  <Characters>4390</Characters>
  <TotalTime>1</TotalTime>
  <ScaleCrop>false</ScaleCrop>
  <LinksUpToDate>false</LinksUpToDate>
  <CharactersWithSpaces>4489</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2026-03-11T14:20:00Z</dcterms:created>
  <dc:creator>Administrator</dc:creator>
  <cp:lastModifiedBy>子夜</cp:lastModifiedBy>
  <dcterms:modified xsi:type="dcterms:W3CDTF">2026-03-20T00:52:43Z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2026-03-11T14:20:47Z</vt:filetime>
  </property>
  <property fmtid="{D5CDD505-2E9C-101B-9397-08002B2CF9AE}" pid="4" name="UsrData">
    <vt:lpwstr>69b109b95b4fbf001fbc4e6bwl</vt:lpwstr>
  </property>
  <property fmtid="{D5CDD505-2E9C-101B-9397-08002B2CF9AE}" pid="5" name="KSOTemplateDocerSaveRecord">
    <vt:lpwstr>eyJoZGlkIjoiMTE2NTIxMGQzNmYxODZlY2I2M2Q0ZTkzODVmYjlmMjUiLCJ1c2VySWQiOiIyNjAwNjc5MjkifQ==</vt:lpwstr>
  </property>
  <property fmtid="{D5CDD505-2E9C-101B-9397-08002B2CF9AE}" pid="6" name="KSOProductBuildVer">
    <vt:lpwstr>2052-12.1.0.25225</vt:lpwstr>
  </property>
  <property fmtid="{D5CDD505-2E9C-101B-9397-08002B2CF9AE}" pid="7" name="ICV">
    <vt:lpwstr>E7A20C8DCBF7400C8E2248460E4187C6_12</vt:lpwstr>
  </property>
</Properties>
</file>