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版本号：LHZBZC2026018W20260417001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5个快速路PPP项目2026年PPP项目分类处理咨询服务项目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LHZBZC2026018W</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5个快速路PPP项目2026年PPP项目分类处理咨询服务项目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LHZBZC2026018W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5个快速路PPP项目2026年PPP项目分类处理咨询服务项目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5个项目的分类处理。根据西安市体育中心外围提升改善道路（一标段）、西安市体育中心外围提升改善道路（二标段）、西安市会展中心外围提升改善道路、西安市昆明路及西延路工程、西安市新兴南路工程5个PPP项目审定总投资，协助甲方分别开展5个PPP项目的分类处理工作，包括并不限于：相关分类处理方案和实施方案调整的编制、报批（如需）；协助制定降本增效的优化方案；协助开展与项目公司的谈判工作；5个PPP项目涉及的政府已付费用核算及后续支付费用核算、支付费用利率核算及使用者付费核算、养护费用核算；编制PPP补充协议，直至协议签订；按市住建局要求提供相关法律、政策、技术等专业人员一定频次的现场工作及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采购包1（5个快速路PPP项目2026年PPP项目分类处理咨询服务项目）：属于专门面向中小企业采购。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3、社保缴纳证明：提供2025年3月1日至今任意一个月的社会保障资金缴存单据或社保机构开具的社会保险参保缴费情况证明。依法不需要缴纳社会保障资金的供应商应提供相关证明文件。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2025年3月1日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信用记录：提供《供应商信用记录书面声明函》。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6、控股管理关系：提供供应商控股管理关系承诺书。若与其他供应商存在单位负责人为同一人或者存在直接控股、管理关系的，则响应无效。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029-61238913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吴元帅、黄沛、陈新鹏、李晨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及发改价格[2011]534号文件的有关规定标准计算收取招标代理服务费。招标代理服务费由中标（成交）供应商在领取成交通知书时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联系人：吴元帅、黄沛、陈新鹏、李晨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地址：西安市未央区太华北路甲字88号大明宫中央广场A座22层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5个项目的分类处理。根据西安市体育中心外围提升改善道路（一标段）、西安市体育中心外围提升改善道路（二标段）、西安市会展中心外围提升改善道路、西安市昆明路及西延路工程、西安市新兴南路工程5个PPP项目审定总投资，协助甲方分别开展5个PPP项目的分类处理工作，包括并不限于：相关分类处理方案和实施方案调整的编制、报批（如需）；协助制定降本增效的优化方案；协助开展与项目公司的谈判工作；5个PPP项目涉及的政府已付费用核算及后续支付费用核算、支付费用利率核算及使用者付费核算、养护费用核算；编制PPP补充协议，直至协议签订；按市住建局要求提供相关法律、政策、技术等专业人员一定频次的现场工作及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5个快速路PPP项目2026年PPP项目分类处理咨询服务项目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标的名称：5个快速路PPP项目2026年PPP项目分类处理咨询服务项目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一、采购内容及要求：</w:t>
            </w:r>
          </w:p>
          <w:p>
            <w:pPr>
              <w:pStyle w:val="null3"/>
              <w:jc w:val="both"/>
            </w:pPr>
            <w:r>
              <w:rPr>
                <w:rFonts w:ascii="仿宋_GB2312" w:hAnsi="仿宋_GB2312" w:cs="仿宋_GB2312" w:eastAsia="仿宋_GB2312"/>
                <w:sz w:val="21"/>
              </w:rPr>
              <w:t>开展</w:t>
            </w:r>
            <w:r>
              <w:rPr>
                <w:rFonts w:ascii="仿宋_GB2312" w:hAnsi="仿宋_GB2312" w:cs="仿宋_GB2312" w:eastAsia="仿宋_GB2312"/>
                <w:sz w:val="21"/>
              </w:rPr>
              <w:t>5个项目的分类处理。根据西安市体育中心外围提升改善道路（一标段）、西安市体育中心外围提升改善道路（二标段）、西安市会展中心外围提升改善道路、西安市昆明路及西延路工程、西安市新兴南路工程5个PPP项目审定总投资，协助甲方分别开展5个PPP项目的分类处理工作，包括并不限于：相关分类处理方案和实施方案调整的编制、报批（如需）；协助制定降本增效的优化方案；协助开展与项目公司的谈判工作；5个PPP项目涉及的政府已付费用核算及后续支付费用核算、支付费用利率核算及使用者付费核算、养护费用核算；编制PPP补充协议，直至协议签订；按市住建局要求提供相关法律、政策、技术等专业人员一定频次的现场工作及技术服务</w:t>
            </w:r>
            <w:r>
              <w:rPr>
                <w:rFonts w:ascii="仿宋_GB2312" w:hAnsi="仿宋_GB2312" w:cs="仿宋_GB2312" w:eastAsia="仿宋_GB2312"/>
                <w:sz w:val="21"/>
              </w:rPr>
              <w:t>。</w:t>
            </w:r>
          </w:p>
          <w:p>
            <w:pPr>
              <w:pStyle w:val="null3"/>
            </w:pPr>
            <w:r>
              <w:rPr>
                <w:rFonts w:ascii="仿宋_GB2312" w:hAnsi="仿宋_GB2312" w:cs="仿宋_GB2312" w:eastAsia="仿宋_GB2312"/>
                <w:sz w:val="21"/>
              </w:rPr>
              <w:t>二、服务期：自本合同签订之日起至</w:t>
            </w:r>
            <w:r>
              <w:rPr>
                <w:rFonts w:ascii="仿宋_GB2312" w:hAnsi="仿宋_GB2312" w:cs="仿宋_GB2312" w:eastAsia="仿宋_GB2312"/>
                <w:sz w:val="21"/>
              </w:rPr>
              <w:t>各项目补充协议签订之日止。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自本合同签订之日起至各项目补充协议签订之日止。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完成各项目分类处理方案、调整实施方案的编制、报批（如需）后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协助甲方开展开展与项目公司的谈判、拟制补充协议并签订后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（1）为顺利推进政府采购电子化交易平台应用工作，供应商需要在线提交所有通过电子化交易平台实施的政府采购项目的磋商响应文件。 （2）根据《关于推动解决政府采购异常低价问题的通知》（财库〔2026〕2号）政府采购评审中出现下列情形之一的，评审委员会应当启动异常低价投标（响应）审查程序：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①项至第④项情形的，应当要求相关供应商在评审现场合理的时间（30分钟）内对投标（响应）价格作出解释，提供项目具体成本测算等与报价合理性相关的书面说明及必要的证明材料，包括但不限于原材料成本、人工成本等，给予相关供应商的合理时间为30分钟。其中，属于第③项情形，供应商已随投标（响应）文件一并提交相关书面说明及必要的证明材料的，在评审现场可不再重复提交。（注：投标人提交的相关说明和证明材料，应当加盖投标人（法定名称）电子印章，在评标委员会要求的时间内进行提交，否则提交的相关证明材料无效。投标人不能证明其投标报价合理性的或未在规定时间提交上述材料的或者提供的材料不齐全的或者提供的材料不被专家认可的，评标委员会均应当将其投标文件作为无效处理。） （3）中标供应商在领取中标通知书时需提交纸质版磋商响应文件正本壹份、副本贰套。纸质版文件内容应于电子版文件内容保持一致。纸质版磋商响应文件的正本和副本应采用粘贴方式左侧装订，不得采用活页夹的可随时拆换的方式装订，不得有零散页（在书脊处清楚写明项目名称）。地点：西安市未央区太华北路甲字88号大明宫中央广场A座22层招标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提供2025年3月1日至今任意一个月的社会保障资金缴存单据或社保机构开具的社会保险参保缴费情况证明。依法不需要缴纳社会保障资金的供应商应提供相关证明文件。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提供供应商控股管理关系承诺书。若与其他供应商存在单位负责人为同一人或者存在直接控股、管理关系的，则响应无效。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供应商名称和营业执照等主体证明资料一致。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未超过最高限价，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标的清单 报价表 响应函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响应条款偏离表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响应条款偏离表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中小企业声明函 响应条款偏离表 标的清单 报价表 响应函 供应商资格证明文件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对分类处理工作的理解和实施思路</w:t>
            </w:r>
          </w:p>
        </w:tc>
        <w:tc>
          <w:tcPr>
            <w:tcW w:type="dxa" w:w="2492"/>
          </w:tcPr>
          <w:p>
            <w:pPr>
              <w:pStyle w:val="null3"/>
            </w:pPr>
            <w:r>
              <w:rPr>
                <w:rFonts w:ascii="仿宋_GB2312" w:hAnsi="仿宋_GB2312" w:cs="仿宋_GB2312" w:eastAsia="仿宋_GB2312"/>
              </w:rPr>
              <w:t>一、评审内容 提出针对本项目分类处理工作的理解和实施思路，内容包含：①分类处理工作目标及特点；②工作整体实施计划及思路。 二、评审标准 1.完整性：方案必须全面，对评审内容中的各项要求有详细描述； 2.可实施性：切合本项目实际情况，实施步骤清晰、合理； 3.针对性：方案能够紧扣项目实际情况，内容科学合理。 三、赋分依据（满分6分） ①分类处理工作目标及特点：每完全满足一个评审标准得1分，满分3分； ②工作整体实施计划及思路：每完全满足一个评审标准得1分，满分3分；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针对本项目提出整体服务方案。方案内容包含：①分类处理工作大纲及工作范围；②资料收集、分析汇总、方案编制；③应急响应措施；④合理化建议；⑤服务承诺。 二、评审标准 1.完整性：方案必须全面，对评审内容中的各项要求有详细描述； 2.可实施性：方案切合本项目实际情况，提出步骤清晰、合理的方案； 3.针对性：方案能够紧扣项目实际情况，内容科学合理。 三、赋分依据（满分21分） ①分类处理工作大纲及工作范围：每完全满足一个评审标准得2分，满分6分； ②资料收集、分析汇总、方案编制：每完全满足一个评审标准得2分，满分6分； ③应急响应措施：每完全满足一个评审标准得1分，满分3 分； ④合理化建议：每完全满足一个评审标准得1分，满分3 分。 ⑤服务承诺：每完全满足一个评审标准得1分，满分3 分。 未提供相关内容不得分。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时间进度计划方案</w:t>
            </w:r>
          </w:p>
        </w:tc>
        <w:tc>
          <w:tcPr>
            <w:tcW w:type="dxa" w:w="2492"/>
          </w:tcPr>
          <w:p>
            <w:pPr>
              <w:pStyle w:val="null3"/>
            </w:pPr>
            <w:r>
              <w:rPr>
                <w:rFonts w:ascii="仿宋_GB2312" w:hAnsi="仿宋_GB2312" w:cs="仿宋_GB2312" w:eastAsia="仿宋_GB2312"/>
              </w:rPr>
              <w:t>一、评审内容 结合本项目特点，制定本项目科学合理的时间进度计划方案，方案内容包含：①各阶段及总体工作时间节点控制措施；②工作进度安排。 二、评审标准 1、完整性：内容全面，对评审内容中的各项要求有详细的描述及说明； 2、可实施性：切合项目实际情况，实施步骤清晰、合理； 3、针对性：方案紧扣项目特点及需求，内容科学合理。 三、赋分标准（满分6分） ①各阶段及总体工作时间节点控制措施：每完全满足一项评审标准得 1 分，满分 3 分； ②工作进度安排:每完全满足一项评审标准得 1 分，满分 3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针对本项目制定服务质量保证措施，措施内容包含：①服务质量控制制度；②服务质量控制标准及控制程序。 二、评审标准 1、完整性：内容全面，对评审内容中的各项要求有详细的描述及说明； 2、可实施性：切合项目实际情况，实施步骤清晰、合理； 3、针对性：方案紧扣项目特点及需求，内容科学合理。 三、赋分标准（满分6分） ①服务质量控制制度：每完全满足一项评审标准得 1 分，满分 3 分； ②服务质量控制标准及控制程序:每完全满足一项评审标准得 1 分， 满分 3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具有良好的管理制度。制度内容包含①岗位职责：具有岗位工作标准、工作流程及工作记录；②内控制度：具有保密制度、管理组织机构、问责机制、监督机制、自查制度；③人员管理制度：具有员工日常管理办法、请销假制度、奖惩措施、激励机制的内容。 二、评审标准 1、完整性：内容全面，对评审内容中的各项要求有详细的描述及说明； 2、可实施性：切合本项目实际情况，步骤清晰、合理，操作性强； 3、针对性：方案紧扣项目特点及需求，内容科学合理。 三、赋分标准（满分9分） ①岗位职责：每完全满足一项评审标准得1分，满分3分； ②内控制度:每完全满足一项评审标准得 1 分，满分 3 分； ③人员管理制度：每完全满足一项评审标准得 1 分，满分3分。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 针对本项目提供资料管理方案，方案包括：①针对各岗位职责范围内产生的资料具有合理的规划、审核、保管制度；②资料归档、保存管理。 二、评审标准 1.完整性：方案必须全面，对评审内容中的各项要求有详细描述； 2.可实施性：切合本项目实际情况，提出步骤清晰、合理的方案； 3.针对性：方案能够紧扣项目实际情况，内容科学合理。 三、赋分依据（满分6分） ①针对各岗位职责范围内产生的资料具有合理的规划、审核、保管制度：每完全满足一个评审标准得1分，满分3分； ②资料归档、保存管理:每完全满足一个评审标准得1分，满分3分；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廉洁及保密措施</w:t>
            </w:r>
          </w:p>
        </w:tc>
        <w:tc>
          <w:tcPr>
            <w:tcW w:type="dxa" w:w="2492"/>
          </w:tcPr>
          <w:p>
            <w:pPr>
              <w:pStyle w:val="null3"/>
            </w:pPr>
            <w:r>
              <w:rPr>
                <w:rFonts w:ascii="仿宋_GB2312" w:hAnsi="仿宋_GB2312" w:cs="仿宋_GB2312" w:eastAsia="仿宋_GB2312"/>
              </w:rPr>
              <w:t>一、评审内容 针对本项目制定廉洁及保密措施，内容包含：①廉洁从业风险控制措施；②保密制度及方法。 二、评审标准 1.完整性：方案必须全面，对评审内容中的各项要求有详细描述； 2.可实施性：切合本项目实际情况，提出步骤清晰、合理的方案； 3.针对性：方案能够紧扣项目实际情况，内容科学合理。 三、赋分依据（满分6分） ①廉洁从业风险控制措施：每完全满足一个评审标准得1分，满分3分； ②保密制度及方法：每完全满足一个评审标准得1分，满分3分。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重难点分析及措施</w:t>
            </w:r>
          </w:p>
        </w:tc>
        <w:tc>
          <w:tcPr>
            <w:tcW w:type="dxa" w:w="2492"/>
          </w:tcPr>
          <w:p>
            <w:pPr>
              <w:pStyle w:val="null3"/>
            </w:pPr>
            <w:r>
              <w:rPr>
                <w:rFonts w:ascii="仿宋_GB2312" w:hAnsi="仿宋_GB2312" w:cs="仿宋_GB2312" w:eastAsia="仿宋_GB2312"/>
              </w:rPr>
              <w:t>一、评审内容 针对本项目提出分类处理工作重难点分析及措施，内容包括：①提出本项目实施过程中容易出错或忽略的重点、难点分析；②针对所提出的重点、难点有相应的解决方案。 二、评审标准 1.完整性：内容对评审内容中的各项要求有详细描述； 2.可实施性：切合本项目实际情况，提出步骤清晰、合理的方案； 3.针对性：分析及措施能够紧扣项目实际情况，内容科学合理。 三、赋分依据（满分9分） ①提出本项目实施过程中容易出错或忽略的重点、难点分析：每完全满足一个评审标准得1.5分，满分4.5分； ②针对所提出的重点、难点有相应的解决方案:每完全满足一个评审标准得1.5分，满分4.5分。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一、项目负责人（7分） 1.学历（2分） 项目负责人具有本科学历，得1分；具有本科以上学历，得2分（取最高学历计分，不重复计分）。 赋分依据：提供学历证明资料（包括毕业证或学信网经查证的《教育部学历证书电子注册备案表》）并加盖供应商公章，不提供或缺漏项或证明材料不符合要求的不得分。 2.业绩（3分） 项目负责人提供2023年1月1日以来，具有类似项目业绩（以合同签订日期为准），每份业绩计3分，满分3分。 赋分依据：须提供合同（关键页中须体现项目负责人姓名）并加盖供应商公章，不提供或缺漏项不得分。 3.证书（2分） 项目负责人具有高级工程师、高级经济师、高级会计师、高级审计师任意一项证书，得2分，满分2分（同一证书不重复计分）。 赋分依据：须提供证书复印件并加盖供应商公章，不提供不得分。 二、团队工作成员（8分） 拟派团队工作人员（与项目负责人不可重复） 团队工作成员应持有咨询工程师（投资）、工程造价师、注册建造师、注册监理工程师、注册会计师、资产评估师、高级工程师、高级经济师、高级会计师中任意一项证书。 赋分依据：提供一人符合要求的证书且具有本科及以上学历（学历证明资料：包括毕业证或学信网经查证的《教育部学历证书电子注册备案表》并加盖供应商公章），得2分，满分8分（同一人不重复计分），不提供或缺漏项或证明材料不符合要求的不得分。 三、拟投入本项目人员配置清单（2分） 针对本标段提供完整的人员配置清单（清单内容包含：具体成员姓名、年龄、学历、职称、证书、岗位职责、工作经验），提供以上清单中所有内容得2分，不提供或缺漏项不得分。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供应商提供2023年1月1日至响应文件递交截止时间的类似业绩（时间以合同签订时间为准），每提供1项类似业绩得2分，最高得4分。 赋分依据：业绩以合同的复印件并加盖供应商公章为计分依据。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10×100%。备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详见附件：磋商响应方案</w:t>
      </w:r>
    </w:p>
    <w:p>
      <w:pPr>
        <w:pStyle w:val="null3"/>
        <w:ind w:firstLine="960"/>
      </w:pPr>
      <w:r>
        <w:rPr>
          <w:rFonts w:ascii="仿宋_GB2312" w:hAnsi="仿宋_GB2312" w:cs="仿宋_GB2312" w:eastAsia="仿宋_GB2312"/>
        </w:rPr>
        <w:t>详见附件：响应条款偏离表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详见附件：PPP项目分类处理咨询合同（定）.docx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