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D7311">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合同类型：</w:t>
      </w:r>
    </w:p>
    <w:p w14:paraId="6B9250E5">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合同编号：</w:t>
      </w:r>
    </w:p>
    <w:p w14:paraId="389CC36C">
      <w:pPr>
        <w:rPr>
          <w:rFonts w:hint="eastAsia" w:asciiTheme="minorEastAsia" w:hAnsiTheme="minorEastAsia" w:eastAsiaTheme="minorEastAsia" w:cstheme="minorEastAsia"/>
          <w:sz w:val="24"/>
          <w:szCs w:val="24"/>
        </w:rPr>
      </w:pPr>
    </w:p>
    <w:p w14:paraId="722C83A6">
      <w:pPr>
        <w:rPr>
          <w:rFonts w:hint="eastAsia" w:asciiTheme="minorEastAsia" w:hAnsiTheme="minorEastAsia" w:eastAsiaTheme="minorEastAsia" w:cstheme="minorEastAsia"/>
          <w:sz w:val="24"/>
          <w:szCs w:val="24"/>
        </w:rPr>
      </w:pPr>
    </w:p>
    <w:p w14:paraId="5599B20E">
      <w:pPr>
        <w:rPr>
          <w:rFonts w:hint="eastAsia" w:asciiTheme="minorEastAsia" w:hAnsiTheme="minorEastAsia" w:eastAsiaTheme="minorEastAsia" w:cstheme="minorEastAsia"/>
          <w:sz w:val="24"/>
          <w:szCs w:val="24"/>
        </w:rPr>
      </w:pPr>
    </w:p>
    <w:p w14:paraId="06311B2C">
      <w:pPr>
        <w:rPr>
          <w:rFonts w:hint="eastAsia" w:asciiTheme="minorEastAsia" w:hAnsiTheme="minorEastAsia" w:eastAsiaTheme="minorEastAsia" w:cstheme="minorEastAsia"/>
          <w:sz w:val="24"/>
          <w:szCs w:val="24"/>
        </w:rPr>
      </w:pPr>
    </w:p>
    <w:p w14:paraId="089390B2">
      <w:pPr>
        <w:rPr>
          <w:rFonts w:hint="eastAsia" w:asciiTheme="minorEastAsia" w:hAnsiTheme="minorEastAsia" w:eastAsiaTheme="minorEastAsia" w:cstheme="minorEastAsia"/>
          <w:sz w:val="24"/>
          <w:szCs w:val="24"/>
        </w:rPr>
      </w:pPr>
    </w:p>
    <w:p w14:paraId="66F9B31F">
      <w:pPr>
        <w:rPr>
          <w:rFonts w:hint="eastAsia" w:asciiTheme="minorEastAsia" w:hAnsiTheme="minorEastAsia" w:eastAsiaTheme="minorEastAsia" w:cstheme="minorEastAsia"/>
          <w:sz w:val="24"/>
          <w:szCs w:val="24"/>
        </w:rPr>
      </w:pPr>
    </w:p>
    <w:p w14:paraId="29E0BB80">
      <w:pPr>
        <w:rPr>
          <w:rFonts w:hint="eastAsia" w:asciiTheme="minorEastAsia" w:hAnsiTheme="minorEastAsia" w:eastAsiaTheme="minorEastAsia" w:cstheme="minorEastAsia"/>
          <w:sz w:val="24"/>
          <w:szCs w:val="24"/>
        </w:rPr>
      </w:pPr>
    </w:p>
    <w:p w14:paraId="3EFC8431">
      <w:pPr>
        <w:rPr>
          <w:rFonts w:hint="eastAsia" w:asciiTheme="minorEastAsia" w:hAnsiTheme="minorEastAsia" w:eastAsiaTheme="minorEastAsia" w:cstheme="minorEastAsia"/>
          <w:sz w:val="24"/>
          <w:szCs w:val="24"/>
        </w:rPr>
      </w:pPr>
    </w:p>
    <w:p w14:paraId="7768D9E4">
      <w:pPr>
        <w:jc w:val="center"/>
        <w:rPr>
          <w:rFonts w:hint="eastAsia" w:asciiTheme="minorEastAsia" w:hAnsiTheme="minorEastAsia" w:eastAsiaTheme="minorEastAsia" w:cstheme="minorEastAsia"/>
          <w:sz w:val="52"/>
          <w:szCs w:val="52"/>
        </w:rPr>
      </w:pPr>
      <w:r>
        <w:rPr>
          <w:rFonts w:hint="eastAsia" w:asciiTheme="minorEastAsia" w:hAnsiTheme="minorEastAsia" w:eastAsiaTheme="minorEastAsia" w:cstheme="minorEastAsia"/>
          <w:sz w:val="52"/>
          <w:szCs w:val="52"/>
        </w:rPr>
        <w:t>PPP项目</w:t>
      </w:r>
      <w:r>
        <w:rPr>
          <w:rFonts w:hint="eastAsia" w:asciiTheme="minorEastAsia" w:hAnsiTheme="minorEastAsia" w:eastAsiaTheme="minorEastAsia" w:cstheme="minorEastAsia"/>
          <w:sz w:val="52"/>
          <w:szCs w:val="52"/>
          <w:lang w:eastAsia="zh-CN"/>
        </w:rPr>
        <w:t>分类处理</w:t>
      </w:r>
      <w:r>
        <w:rPr>
          <w:rFonts w:hint="eastAsia" w:asciiTheme="minorEastAsia" w:hAnsiTheme="minorEastAsia" w:eastAsiaTheme="minorEastAsia" w:cstheme="minorEastAsia"/>
          <w:sz w:val="52"/>
          <w:szCs w:val="52"/>
        </w:rPr>
        <w:t>咨询服务合同</w:t>
      </w:r>
    </w:p>
    <w:p w14:paraId="1BD6B6A3">
      <w:pPr>
        <w:rPr>
          <w:rFonts w:hint="eastAsia" w:asciiTheme="minorEastAsia" w:hAnsiTheme="minorEastAsia" w:eastAsiaTheme="minorEastAsia" w:cstheme="minorEastAsia"/>
          <w:sz w:val="24"/>
          <w:szCs w:val="24"/>
        </w:rPr>
      </w:pPr>
    </w:p>
    <w:p w14:paraId="0AD302A8">
      <w:pPr>
        <w:rPr>
          <w:rFonts w:hint="eastAsia" w:asciiTheme="minorEastAsia" w:hAnsiTheme="minorEastAsia" w:eastAsiaTheme="minorEastAsia" w:cstheme="minorEastAsia"/>
          <w:sz w:val="24"/>
          <w:szCs w:val="24"/>
        </w:rPr>
      </w:pPr>
    </w:p>
    <w:p w14:paraId="15EA2DB2">
      <w:pPr>
        <w:rPr>
          <w:rFonts w:hint="eastAsia" w:asciiTheme="minorEastAsia" w:hAnsiTheme="minorEastAsia" w:eastAsiaTheme="minorEastAsia" w:cstheme="minorEastAsia"/>
          <w:sz w:val="24"/>
          <w:szCs w:val="24"/>
        </w:rPr>
      </w:pPr>
    </w:p>
    <w:p w14:paraId="1648E488">
      <w:pPr>
        <w:rPr>
          <w:rFonts w:hint="eastAsia" w:asciiTheme="minorEastAsia" w:hAnsiTheme="minorEastAsia" w:eastAsiaTheme="minorEastAsia" w:cstheme="minorEastAsia"/>
          <w:sz w:val="24"/>
          <w:szCs w:val="24"/>
        </w:rPr>
      </w:pPr>
    </w:p>
    <w:p w14:paraId="6633EF80">
      <w:pPr>
        <w:rPr>
          <w:rFonts w:hint="eastAsia" w:asciiTheme="minorEastAsia" w:hAnsiTheme="minorEastAsia" w:eastAsiaTheme="minorEastAsia" w:cstheme="minorEastAsia"/>
          <w:sz w:val="24"/>
          <w:szCs w:val="24"/>
        </w:rPr>
      </w:pPr>
    </w:p>
    <w:p w14:paraId="56CFEC4F">
      <w:pPr>
        <w:rPr>
          <w:rFonts w:hint="eastAsia" w:asciiTheme="minorEastAsia" w:hAnsiTheme="minorEastAsia" w:eastAsiaTheme="minorEastAsia" w:cstheme="minorEastAsia"/>
          <w:sz w:val="24"/>
          <w:szCs w:val="24"/>
        </w:rPr>
      </w:pPr>
    </w:p>
    <w:p w14:paraId="3BC4515A">
      <w:pPr>
        <w:rPr>
          <w:rFonts w:hint="eastAsia" w:asciiTheme="minorEastAsia" w:hAnsiTheme="minorEastAsia" w:eastAsiaTheme="minorEastAsia" w:cstheme="minorEastAsia"/>
          <w:sz w:val="24"/>
          <w:szCs w:val="24"/>
        </w:rPr>
      </w:pPr>
    </w:p>
    <w:p w14:paraId="1F59B25D">
      <w:pPr>
        <w:rPr>
          <w:rFonts w:hint="eastAsia" w:asciiTheme="minorEastAsia" w:hAnsiTheme="minorEastAsia" w:eastAsiaTheme="minorEastAsia" w:cstheme="minorEastAsia"/>
          <w:sz w:val="24"/>
          <w:szCs w:val="24"/>
        </w:rPr>
      </w:pPr>
    </w:p>
    <w:p w14:paraId="4B35514C">
      <w:pPr>
        <w:rPr>
          <w:rFonts w:hint="eastAsia" w:asciiTheme="minorEastAsia" w:hAnsiTheme="minorEastAsia" w:eastAsiaTheme="minorEastAsia" w:cstheme="minorEastAsia"/>
          <w:sz w:val="24"/>
          <w:szCs w:val="24"/>
        </w:rPr>
      </w:pPr>
    </w:p>
    <w:p w14:paraId="3FDD409E">
      <w:pPr>
        <w:rPr>
          <w:rFonts w:hint="eastAsia" w:asciiTheme="minorEastAsia" w:hAnsiTheme="minorEastAsia" w:eastAsiaTheme="minorEastAsia" w:cstheme="minorEastAsia"/>
          <w:sz w:val="28"/>
          <w:szCs w:val="28"/>
        </w:rPr>
      </w:pPr>
    </w:p>
    <w:p w14:paraId="37B6CA51">
      <w:pPr>
        <w:rPr>
          <w:rFonts w:hint="eastAsia" w:asciiTheme="minorEastAsia" w:hAnsiTheme="minorEastAsia" w:eastAsiaTheme="minorEastAsia" w:cstheme="minorEastAsia"/>
          <w:sz w:val="32"/>
          <w:szCs w:val="32"/>
        </w:rPr>
      </w:pPr>
    </w:p>
    <w:p w14:paraId="6B8D3B78">
      <w:pPr>
        <w:rPr>
          <w:rFonts w:hint="eastAsia" w:asciiTheme="minorEastAsia" w:hAnsiTheme="minorEastAsia" w:eastAsiaTheme="minorEastAsia" w:cstheme="minorEastAsia"/>
          <w:sz w:val="32"/>
          <w:szCs w:val="32"/>
        </w:rPr>
      </w:pPr>
    </w:p>
    <w:p w14:paraId="5C67BD79">
      <w:pPr>
        <w:rPr>
          <w:rFonts w:hint="eastAsia" w:asciiTheme="minorEastAsia" w:hAnsiTheme="minorEastAsia" w:eastAsiaTheme="minorEastAsia" w:cstheme="minorEastAsia"/>
          <w:sz w:val="32"/>
          <w:szCs w:val="32"/>
        </w:rPr>
      </w:pPr>
    </w:p>
    <w:p w14:paraId="2DE985BD">
      <w:pPr>
        <w:rPr>
          <w:rFonts w:hint="eastAsia" w:asciiTheme="minorEastAsia" w:hAnsiTheme="minorEastAsia" w:eastAsiaTheme="minorEastAsia" w:cstheme="minorEastAsia"/>
          <w:sz w:val="32"/>
          <w:szCs w:val="32"/>
        </w:rPr>
      </w:pPr>
    </w:p>
    <w:p w14:paraId="2CE14BB9">
      <w:pPr>
        <w:rPr>
          <w:rFonts w:hint="eastAsia" w:asciiTheme="minorEastAsia" w:hAnsiTheme="minorEastAsia" w:eastAsiaTheme="minorEastAsia" w:cstheme="minorEastAsia"/>
          <w:sz w:val="32"/>
          <w:szCs w:val="32"/>
        </w:rPr>
      </w:pPr>
    </w:p>
    <w:p w14:paraId="2B841530">
      <w:pPr>
        <w:rPr>
          <w:rFonts w:hint="eastAsia" w:asciiTheme="minorEastAsia" w:hAnsiTheme="minorEastAsia" w:eastAsiaTheme="minorEastAsia" w:cstheme="minorEastAsia"/>
          <w:sz w:val="32"/>
          <w:szCs w:val="32"/>
        </w:rPr>
      </w:pPr>
    </w:p>
    <w:p w14:paraId="25584604">
      <w:pPr>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t>项目名称：</w:t>
      </w:r>
    </w:p>
    <w:p w14:paraId="2E488A6F">
      <w:pP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80"/>
          <w:kern w:val="0"/>
          <w:sz w:val="32"/>
          <w:szCs w:val="32"/>
          <w:fitText w:val="1120" w:id="759317867"/>
        </w:rPr>
        <w:t>聘用</w:t>
      </w:r>
      <w:r>
        <w:rPr>
          <w:rFonts w:hint="eastAsia" w:asciiTheme="minorEastAsia" w:hAnsiTheme="minorEastAsia" w:eastAsiaTheme="minorEastAsia" w:cstheme="minorEastAsia"/>
          <w:spacing w:val="0"/>
          <w:kern w:val="0"/>
          <w:sz w:val="32"/>
          <w:szCs w:val="32"/>
          <w:fitText w:val="1120" w:id="759317867"/>
        </w:rPr>
        <w:t>方</w:t>
      </w:r>
      <w:r>
        <w:rPr>
          <w:rFonts w:hint="eastAsia" w:asciiTheme="minorEastAsia" w:hAnsiTheme="minorEastAsia" w:eastAsiaTheme="minorEastAsia" w:cstheme="minorEastAsia"/>
          <w:sz w:val="32"/>
          <w:szCs w:val="32"/>
        </w:rPr>
        <w:t>：西安市住房和城乡建设局</w:t>
      </w:r>
    </w:p>
    <w:p w14:paraId="7397BE5F">
      <w:pPr>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pacing w:val="80"/>
          <w:kern w:val="0"/>
          <w:sz w:val="32"/>
          <w:szCs w:val="32"/>
          <w:fitText w:val="1120" w:id="1"/>
        </w:rPr>
        <w:t>受聘</w:t>
      </w:r>
      <w:r>
        <w:rPr>
          <w:rFonts w:hint="eastAsia" w:asciiTheme="minorEastAsia" w:hAnsiTheme="minorEastAsia" w:eastAsiaTheme="minorEastAsia" w:cstheme="minorEastAsia"/>
          <w:spacing w:val="0"/>
          <w:kern w:val="0"/>
          <w:sz w:val="32"/>
          <w:szCs w:val="32"/>
          <w:fitText w:val="1120" w:id="1"/>
        </w:rPr>
        <w:t>方</w:t>
      </w:r>
      <w:r>
        <w:rPr>
          <w:rFonts w:hint="eastAsia" w:asciiTheme="minorEastAsia" w:hAnsiTheme="minorEastAsia" w:eastAsiaTheme="minorEastAsia" w:cstheme="minorEastAsia"/>
          <w:sz w:val="32"/>
          <w:szCs w:val="32"/>
        </w:rPr>
        <w:t>：</w:t>
      </w:r>
    </w:p>
    <w:p w14:paraId="0F46800E">
      <w:pPr>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签订日期：</w:t>
      </w:r>
    </w:p>
    <w:p w14:paraId="53F5D814">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32"/>
          <w:szCs w:val="32"/>
        </w:rPr>
        <w:t>签订地点：</w:t>
      </w:r>
    </w:p>
    <w:p w14:paraId="1057588B">
      <w:pPr>
        <w:rPr>
          <w:rFonts w:hint="eastAsia" w:asciiTheme="minorEastAsia" w:hAnsiTheme="minorEastAsia" w:eastAsiaTheme="minorEastAsia" w:cstheme="minorEastAsia"/>
          <w:sz w:val="24"/>
          <w:szCs w:val="24"/>
        </w:rPr>
        <w:sectPr>
          <w:pgSz w:w="11900" w:h="16840"/>
          <w:pgMar w:top="1431" w:right="1429" w:bottom="1429" w:left="1629" w:header="0" w:footer="0" w:gutter="0"/>
          <w:cols w:space="720" w:num="1"/>
        </w:sectPr>
      </w:pPr>
    </w:p>
    <w:p w14:paraId="2F586FB6">
      <w:pPr>
        <w:keepNext w:val="0"/>
        <w:keepLines w:val="0"/>
        <w:pageBreakBefore w:val="0"/>
        <w:widowControl/>
        <w:overflowPunct/>
        <w:bidi w:val="0"/>
        <w:adjustRightInd w:val="0"/>
        <w:snapToGrid w:val="0"/>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rPr>
        <w:t>甲方(聘用方):</w:t>
      </w:r>
      <w:r>
        <w:rPr>
          <w:rFonts w:hint="eastAsia" w:asciiTheme="minorEastAsia" w:hAnsiTheme="minorEastAsia" w:eastAsiaTheme="minorEastAsia" w:cstheme="minorEastAsia"/>
          <w:sz w:val="24"/>
          <w:szCs w:val="24"/>
          <w:u w:val="single"/>
        </w:rPr>
        <w:t>西安市住房和城乡建设局</w:t>
      </w:r>
    </w:p>
    <w:p w14:paraId="27A77F53">
      <w:pPr>
        <w:keepNext w:val="0"/>
        <w:keepLines w:val="0"/>
        <w:pageBreakBefore w:val="0"/>
        <w:widowControl/>
        <w:overflowPunct/>
        <w:bidi w:val="0"/>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乙方(受聘方):</w:t>
      </w:r>
      <w:r>
        <w:rPr>
          <w:rFonts w:hint="eastAsia" w:asciiTheme="minorEastAsia" w:hAnsiTheme="minorEastAsia" w:eastAsiaTheme="minorEastAsia" w:cstheme="minorEastAsia"/>
          <w:sz w:val="24"/>
          <w:szCs w:val="24"/>
          <w:u w:val="single"/>
          <w:lang w:val="en-US" w:eastAsia="zh-CN"/>
        </w:rPr>
        <w:t xml:space="preserve">                      </w:t>
      </w:r>
    </w:p>
    <w:p w14:paraId="7A26DCD4">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根据《中华人民共和国民法典》和其他有关法律、法规，甲乙双方本着平等自愿、诚实守信的原则，经友好协商一致，甲方就</w:t>
      </w:r>
      <w:r>
        <w:rPr>
          <w:rFonts w:hint="eastAsia" w:asciiTheme="minorEastAsia" w:hAnsiTheme="minorEastAsia" w:eastAsiaTheme="minorEastAsia" w:cstheme="minorEastAsia"/>
          <w:sz w:val="24"/>
          <w:szCs w:val="24"/>
          <w:u w:val="single"/>
          <w:lang w:val="en-US" w:eastAsia="zh-CN"/>
        </w:rPr>
        <w:t xml:space="preserve">   XXX PPP项目分类处理</w:t>
      </w:r>
      <w:r>
        <w:rPr>
          <w:rFonts w:hint="eastAsia" w:asciiTheme="minorEastAsia" w:hAnsiTheme="minorEastAsia" w:eastAsiaTheme="minorEastAsia" w:cstheme="minorEastAsia"/>
          <w:sz w:val="24"/>
          <w:szCs w:val="24"/>
        </w:rPr>
        <w:t>聘请乙方开展咨询服务，按下述条款签订本合同。</w:t>
      </w:r>
    </w:p>
    <w:p w14:paraId="6C8D8C97">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第一条服务内容</w:t>
      </w:r>
    </w:p>
    <w:p w14:paraId="5AE5F196">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乙方利用其在PPP项目</w:t>
      </w:r>
      <w:r>
        <w:rPr>
          <w:rFonts w:hint="eastAsia" w:asciiTheme="minorEastAsia" w:hAnsiTheme="minorEastAsia" w:eastAsiaTheme="minorEastAsia" w:cstheme="minorEastAsia"/>
          <w:sz w:val="24"/>
          <w:szCs w:val="24"/>
          <w:lang w:val="en-US" w:eastAsia="zh-CN"/>
        </w:rPr>
        <w:t>业务</w:t>
      </w:r>
      <w:r>
        <w:rPr>
          <w:rFonts w:hint="eastAsia" w:asciiTheme="minorEastAsia" w:hAnsiTheme="minorEastAsia" w:eastAsiaTheme="minorEastAsia" w:cstheme="minorEastAsia"/>
          <w:sz w:val="24"/>
          <w:szCs w:val="24"/>
        </w:rPr>
        <w:t>上的专业力量和经验，为甲方提供(包含但不仅限于)以下咨询服务：</w:t>
      </w:r>
    </w:p>
    <w:p w14:paraId="5B307753">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lang w:val="en-US" w:eastAsia="zh-CN"/>
        </w:rPr>
        <w:t>根据西安市体育中心外围提升改善道路（一标段）、西安市体育中心外围提升改善道路（二标段）、西安市会展中心外围提升改善道路、西安市昆明路及西延路工程、西安市新兴南路工程5个PPP项目审定总投资，协助甲方分别开展5个PPP项目的分类处理工作，包括并不限于：相关分类处理方案和实施方案调整的编制、报批（如需）；协助制定降本增效的优化方案；协助开展与项目公司的谈判工作；5个PPP项目涉及的政府已付费用核算及</w:t>
      </w:r>
      <w:r>
        <w:rPr>
          <w:rFonts w:hint="eastAsia" w:asciiTheme="minorEastAsia" w:hAnsiTheme="minorEastAsia" w:eastAsiaTheme="minorEastAsia" w:cstheme="minorEastAsia"/>
          <w:sz w:val="24"/>
          <w:szCs w:val="24"/>
          <w:highlight w:val="none"/>
          <w:lang w:val="en-US" w:eastAsia="zh-CN"/>
        </w:rPr>
        <w:t>后续支付费用核算、支付费用利率核算及使用者付费核算、养护费用核算；编制PPP补充协议，直至协议签订；按市住建局要求提供相关法律、政策、技术等专业人员一定频次的现场工作及技术服务。</w:t>
      </w:r>
    </w:p>
    <w:p w14:paraId="5A5F2685">
      <w:pPr>
        <w:keepNext w:val="0"/>
        <w:keepLines w:val="0"/>
        <w:pageBreakBefore w:val="0"/>
        <w:widowControl w:val="0"/>
        <w:overflowPunct/>
        <w:bidi w:val="0"/>
        <w:adjustRightInd w:val="0"/>
        <w:snapToGrid w:val="0"/>
        <w:spacing w:line="360" w:lineRule="auto"/>
        <w:ind w:firstLine="480"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第二条服务期限</w:t>
      </w:r>
    </w:p>
    <w:p w14:paraId="02F028FB">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自本合同签订之日起至</w:t>
      </w:r>
      <w:r>
        <w:rPr>
          <w:rFonts w:hint="eastAsia" w:asciiTheme="minorEastAsia" w:hAnsiTheme="minorEastAsia" w:eastAsiaTheme="minorEastAsia" w:cstheme="minorEastAsia"/>
          <w:sz w:val="24"/>
          <w:szCs w:val="24"/>
          <w:highlight w:val="none"/>
          <w:lang w:val="en-US" w:eastAsia="zh-CN"/>
        </w:rPr>
        <w:t>各项目补充协议签订之日止</w:t>
      </w:r>
      <w:r>
        <w:rPr>
          <w:rFonts w:hint="eastAsia" w:asciiTheme="minorEastAsia" w:hAnsiTheme="minorEastAsia" w:eastAsiaTheme="minorEastAsia" w:cstheme="minorEastAsia"/>
          <w:sz w:val="24"/>
          <w:szCs w:val="24"/>
          <w:highlight w:val="none"/>
        </w:rPr>
        <w:t>。</w:t>
      </w:r>
    </w:p>
    <w:p w14:paraId="546DFC9D">
      <w:pPr>
        <w:keepNext w:val="0"/>
        <w:keepLines w:val="0"/>
        <w:pageBreakBefore w:val="0"/>
        <w:widowControl w:val="0"/>
        <w:overflowPunct/>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第三条服务费用</w:t>
      </w:r>
    </w:p>
    <w:p w14:paraId="6F5E50C3">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本项目咨询服务费共计人民币</w:t>
      </w:r>
      <w:r>
        <w:rPr>
          <w:rFonts w:hint="eastAsia" w:asciiTheme="minorEastAsia" w:hAnsiTheme="minorEastAsia" w:eastAsiaTheme="minorEastAsia" w:cstheme="minorEastAsia"/>
          <w:sz w:val="24"/>
          <w:szCs w:val="24"/>
          <w:u w:val="single"/>
        </w:rPr>
        <w:t>(大写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lang w:val="en-US" w:eastAsia="zh-CN"/>
        </w:rPr>
        <w:t xml:space="preserve">       元</w:t>
      </w:r>
      <w:r>
        <w:rPr>
          <w:rFonts w:hint="eastAsia" w:asciiTheme="minorEastAsia" w:hAnsiTheme="minorEastAsia" w:eastAsiaTheme="minorEastAsia" w:cstheme="minorEastAsia"/>
          <w:sz w:val="24"/>
          <w:szCs w:val="24"/>
        </w:rPr>
        <w:t>)。该费用包含且不限于服务费、印刷费、交通费、税金和组织专家评审等乙方履行本协议产生的全部费用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如需离市调研，乙方应自行承担其自身费用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p>
    <w:p w14:paraId="13EE43D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第四条费用支付</w:t>
      </w:r>
    </w:p>
    <w:p w14:paraId="0C07BF4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green"/>
        </w:rPr>
      </w:pPr>
      <w:r>
        <w:rPr>
          <w:rFonts w:hint="eastAsia" w:asciiTheme="minorEastAsia" w:hAnsiTheme="minorEastAsia" w:eastAsiaTheme="minorEastAsia" w:cstheme="minorEastAsia"/>
          <w:sz w:val="24"/>
          <w:szCs w:val="24"/>
          <w:highlight w:val="none"/>
        </w:rPr>
        <w:t>(一)付款节点和比例</w:t>
      </w:r>
    </w:p>
    <w:p w14:paraId="2CA3A5B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lang w:val="en-US" w:eastAsia="zh-CN"/>
        </w:rPr>
        <w:t>1.完成各项目</w:t>
      </w:r>
      <w:bookmarkStart w:id="0" w:name="OLE_LINK1"/>
      <w:r>
        <w:rPr>
          <w:rFonts w:hint="eastAsia" w:asciiTheme="minorEastAsia" w:hAnsiTheme="minorEastAsia" w:eastAsiaTheme="minorEastAsia" w:cstheme="minorEastAsia"/>
          <w:sz w:val="24"/>
          <w:szCs w:val="24"/>
          <w:lang w:val="en-US" w:eastAsia="zh-CN"/>
        </w:rPr>
        <w:t>分类处理方案、调整实施方案</w:t>
      </w:r>
      <w:bookmarkEnd w:id="0"/>
      <w:r>
        <w:rPr>
          <w:rFonts w:hint="eastAsia" w:asciiTheme="minorEastAsia" w:hAnsiTheme="minorEastAsia" w:eastAsiaTheme="minorEastAsia" w:cstheme="minorEastAsia"/>
          <w:sz w:val="24"/>
          <w:szCs w:val="24"/>
          <w:lang w:val="en-US" w:eastAsia="zh-CN"/>
        </w:rPr>
        <w:t>的编制、报批（如需）</w:t>
      </w:r>
      <w:r>
        <w:rPr>
          <w:rFonts w:hint="eastAsia" w:asciiTheme="minorEastAsia" w:hAnsiTheme="minorEastAsia" w:eastAsiaTheme="minorEastAsia" w:cstheme="minorEastAsia"/>
          <w:sz w:val="24"/>
          <w:szCs w:val="24"/>
          <w:highlight w:val="none"/>
        </w:rPr>
        <w:t>后30日内，甲方向乙方支付合同总价的</w:t>
      </w:r>
      <w:r>
        <w:rPr>
          <w:rFonts w:hint="eastAsia" w:asciiTheme="minorEastAsia" w:hAnsiTheme="minorEastAsia" w:eastAsiaTheme="minorEastAsia" w:cstheme="minorEastAsia"/>
          <w:sz w:val="24"/>
          <w:szCs w:val="24"/>
          <w:highlight w:val="none"/>
          <w:lang w:val="en-US" w:eastAsia="zh-CN"/>
        </w:rPr>
        <w:t>40</w:t>
      </w:r>
      <w:r>
        <w:rPr>
          <w:rFonts w:hint="eastAsia" w:asciiTheme="minorEastAsia" w:hAnsiTheme="minorEastAsia" w:eastAsiaTheme="minorEastAsia" w:cstheme="minorEastAsia"/>
          <w:sz w:val="24"/>
          <w:szCs w:val="24"/>
          <w:highlight w:val="none"/>
        </w:rPr>
        <w:t>%,即支付人民币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元整(¥</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p>
    <w:p w14:paraId="099BE69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2.协助甲方开展</w:t>
      </w:r>
      <w:r>
        <w:rPr>
          <w:rFonts w:hint="eastAsia" w:asciiTheme="minorEastAsia" w:hAnsiTheme="minorEastAsia" w:eastAsiaTheme="minorEastAsia" w:cstheme="minorEastAsia"/>
          <w:sz w:val="24"/>
          <w:szCs w:val="24"/>
          <w:lang w:val="en-US" w:eastAsia="zh-CN"/>
        </w:rPr>
        <w:t>开展与项目公司的谈判、拟制补充协议并签订后30日内，</w:t>
      </w:r>
      <w:r>
        <w:rPr>
          <w:rFonts w:hint="eastAsia" w:asciiTheme="minorEastAsia" w:hAnsiTheme="minorEastAsia" w:eastAsiaTheme="minorEastAsia" w:cstheme="minorEastAsia"/>
          <w:sz w:val="24"/>
          <w:szCs w:val="24"/>
          <w:highlight w:val="none"/>
        </w:rPr>
        <w:t>甲方向乙方支付合同总价的</w:t>
      </w:r>
      <w:r>
        <w:rPr>
          <w:rFonts w:hint="eastAsia" w:asciiTheme="minorEastAsia" w:hAnsiTheme="minorEastAsia" w:eastAsiaTheme="minorEastAsia" w:cstheme="minorEastAsia"/>
          <w:sz w:val="24"/>
          <w:szCs w:val="24"/>
          <w:highlight w:val="none"/>
          <w:lang w:val="en-US" w:eastAsia="zh-CN"/>
        </w:rPr>
        <w:t>60</w:t>
      </w:r>
      <w:r>
        <w:rPr>
          <w:rFonts w:hint="eastAsia" w:asciiTheme="minorEastAsia" w:hAnsiTheme="minorEastAsia" w:eastAsiaTheme="minorEastAsia" w:cstheme="minorEastAsia"/>
          <w:sz w:val="24"/>
          <w:szCs w:val="24"/>
          <w:highlight w:val="none"/>
        </w:rPr>
        <w:t>%,即支付人民币</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元整(¥</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元)。</w:t>
      </w:r>
    </w:p>
    <w:p w14:paraId="246B5DA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(二)甲方每次付款前，乙方须提供甲方财务认可的等额税务发票，否则，甲方有权拒绝付款且不承担任何责任。</w:t>
      </w:r>
    </w:p>
    <w:p w14:paraId="2BE61D0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(三)支付方式：银行转账。</w:t>
      </w:r>
    </w:p>
    <w:p w14:paraId="790F630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第五条服务团队</w:t>
      </w:r>
    </w:p>
    <w:p w14:paraId="60C46A0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为提供优质的咨询服务，乙方指派</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为项目负责人，抽组具备资质的技术、经济等专业人员，成立咨询服务团队(详见附件1),报甲方审查备案，未经甲方同意不得擅自调整。</w:t>
      </w:r>
    </w:p>
    <w:p w14:paraId="2FE34DE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第六条交付验收</w:t>
      </w:r>
    </w:p>
    <w:p w14:paraId="043F753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乙方按以下内容和要求提交验收咨询成果：</w:t>
      </w:r>
    </w:p>
    <w:p w14:paraId="506B215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(一)交付内容</w:t>
      </w:r>
    </w:p>
    <w:p w14:paraId="3D9BAAE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咨询成果：</w:t>
      </w:r>
      <w:r>
        <w:rPr>
          <w:rFonts w:hint="eastAsia" w:asciiTheme="minorEastAsia" w:hAnsiTheme="minorEastAsia" w:eastAsiaTheme="minorEastAsia" w:cstheme="minorEastAsia"/>
          <w:sz w:val="24"/>
          <w:szCs w:val="24"/>
          <w:highlight w:val="none"/>
          <w:lang w:val="en-US" w:eastAsia="zh-CN"/>
        </w:rPr>
        <w:t>经批准的各项目调整实施方案、补充协议等</w:t>
      </w:r>
      <w:r>
        <w:rPr>
          <w:rFonts w:hint="eastAsia" w:asciiTheme="minorEastAsia" w:hAnsiTheme="minorEastAsia" w:eastAsiaTheme="minorEastAsia" w:cstheme="minorEastAsia"/>
          <w:sz w:val="24"/>
          <w:szCs w:val="24"/>
        </w:rPr>
        <w:t>。</w:t>
      </w:r>
    </w:p>
    <w:p w14:paraId="10B0E35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(二)交付的形式、时间及地点</w:t>
      </w:r>
    </w:p>
    <w:p w14:paraId="13566D6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形式：咨询成果以书面和电子资料两种形式提交(数量根据甲方需要)</w:t>
      </w:r>
    </w:p>
    <w:p w14:paraId="03E77E8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时间：根据甲乙双方商定的工作计划，按有关进度执行。</w:t>
      </w:r>
    </w:p>
    <w:p w14:paraId="2542638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地点：西安市。</w:t>
      </w:r>
    </w:p>
    <w:p w14:paraId="54276E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（三）</w:t>
      </w:r>
      <w:r>
        <w:rPr>
          <w:rFonts w:hint="eastAsia" w:asciiTheme="minorEastAsia" w:hAnsiTheme="minorEastAsia" w:eastAsiaTheme="minorEastAsia" w:cstheme="minorEastAsia"/>
          <w:sz w:val="24"/>
          <w:szCs w:val="24"/>
        </w:rPr>
        <w:t>成果验收</w:t>
      </w:r>
    </w:p>
    <w:p w14:paraId="1794E8D5">
      <w:pPr>
        <w:keepNext w:val="0"/>
        <w:keepLines w:val="0"/>
        <w:pageBreakBefore w:val="0"/>
        <w:widowControl w:val="0"/>
        <w:numPr>
          <w:ilvl w:val="0"/>
          <w:numId w:val="0"/>
        </w:numPr>
        <w:kinsoku/>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向甲方提交经乙方项目负责人审核签字、公司盖章的相关</w:t>
      </w:r>
      <w:r>
        <w:rPr>
          <w:rFonts w:hint="eastAsia" w:asciiTheme="minorEastAsia" w:hAnsiTheme="minorEastAsia" w:eastAsiaTheme="minorEastAsia" w:cstheme="minorEastAsia"/>
          <w:sz w:val="24"/>
          <w:szCs w:val="24"/>
          <w:lang w:eastAsia="zh-CN"/>
        </w:rPr>
        <w:t>成果文件</w:t>
      </w:r>
      <w:r>
        <w:rPr>
          <w:rFonts w:hint="eastAsia" w:asciiTheme="minorEastAsia" w:hAnsiTheme="minorEastAsia" w:eastAsiaTheme="minorEastAsia" w:cstheme="minorEastAsia"/>
          <w:sz w:val="24"/>
          <w:szCs w:val="24"/>
        </w:rPr>
        <w:t>。(如后期PPP项目政策出现新变化，则需按照最新政策要求报有关单位审核通过)</w:t>
      </w:r>
    </w:p>
    <w:p w14:paraId="6919FE8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第七条甲乙双方的权利和义务</w:t>
      </w:r>
    </w:p>
    <w:p w14:paraId="5397381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(一)甲方的权利和义务</w:t>
      </w:r>
    </w:p>
    <w:p w14:paraId="452144F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1.甲方有权对乙方的服务进行监督检查，有权向乙方询问工作进展情况及相关工作内容，有权阐述对具体问题的意见和建议；</w:t>
      </w:r>
    </w:p>
    <w:p w14:paraId="7267AED6">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2.甲方对乙方提供的咨询服务建议或报告有审议、修改及最终决策的权利；</w:t>
      </w:r>
    </w:p>
    <w:p w14:paraId="3583309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3.服务期内，若乙方服务人员不正确或不认真履行服务责任，甲方有权要求乙方更换服务人员，乙方应当在甲方规定的时间内及时更换与合同约定的资历匹配一致的人员；</w:t>
      </w:r>
    </w:p>
    <w:p w14:paraId="7AA2CC4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4.配合乙方工作，协助乙方对接项目公司等与项目有关的单位，向乙方提供相关基础资料，并保证所提供资料真实、合法、有效；</w:t>
      </w:r>
    </w:p>
    <w:p w14:paraId="2AE6938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5.配合乙方现场访谈、勘察等事宜，并提供相关工作便利；</w:t>
      </w:r>
    </w:p>
    <w:p w14:paraId="7169C3A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6.在乙方无任何违约的情况下，依据本合同规定，及时足额向乙方支付咨询服务费用；</w:t>
      </w:r>
    </w:p>
    <w:p w14:paraId="6BD9422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highlight w:val="none"/>
          <w:lang w:eastAsia="zh-CN"/>
        </w:rPr>
        <w:t>因政策性变动</w:t>
      </w:r>
      <w:r>
        <w:rPr>
          <w:rFonts w:hint="eastAsia" w:asciiTheme="minorEastAsia" w:hAnsiTheme="minorEastAsia" w:eastAsiaTheme="minorEastAsia" w:cstheme="minorEastAsia"/>
          <w:sz w:val="24"/>
          <w:szCs w:val="24"/>
          <w:highlight w:val="none"/>
          <w:lang w:val="en-US" w:eastAsia="zh-CN"/>
        </w:rPr>
        <w:t>或政府（含PPP行业主管部门）关于PPP项目分类处理最新的工作要求</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lang w:eastAsia="zh-CN"/>
        </w:rPr>
        <w:t>甲方有权解除合同。</w:t>
      </w:r>
    </w:p>
    <w:p w14:paraId="0182FF2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国家法律、法规所规定应由甲方承担的其他责任。</w:t>
      </w:r>
    </w:p>
    <w:p w14:paraId="3B5770E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(二)乙方的权利和义务</w:t>
      </w:r>
    </w:p>
    <w:p w14:paraId="6F288B7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1.乙方在提供咨询服务过程中，有权要求甲方提供所需的项目资料，乙方对甲方提交的资料在3日内未提出异议的，视为甲方提交的资料符合项目要求；</w:t>
      </w:r>
    </w:p>
    <w:p w14:paraId="5C79D6C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2.乙方在提供咨询服务过程中有到现场访谈、勘察的权利；</w:t>
      </w:r>
    </w:p>
    <w:p w14:paraId="6EBBB54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3.依据本合同约定，向甲方收取咨询服务费用；</w:t>
      </w:r>
    </w:p>
    <w:p w14:paraId="4350DFC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4.乙方应遵守其做出的服务承诺，遵循诚实、勤勉、尽职的原则，为甲方提供咨询服务，对咨询成果的真实性和质量负责；</w:t>
      </w:r>
    </w:p>
    <w:p w14:paraId="469ED2D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5.乙方服务咨询形式不仅限于书面的咨询方案、报告等，也可根据甲方需求提供现场咨询等服务；</w:t>
      </w:r>
    </w:p>
    <w:p w14:paraId="26E7349D">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6.乙方应编制咨询服务工作计划，报甲方审查备案，主动接受甲方的监督，根据甲方要求，及时向甲方汇报工作进展；</w:t>
      </w:r>
    </w:p>
    <w:p w14:paraId="3FB9B1A9">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7.乙方应保证服务团队人员为本项目服务的工作时间，督促团队人员正确、认真履行责任，及时高效地提供咨询服务；</w:t>
      </w:r>
    </w:p>
    <w:p w14:paraId="032128EC">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8.乙方所提供的服务或其中任何一部分，均不得侵犯任何第三方专利权、商标权或著作权等知识产权，并承担与此相关的一切责任；</w:t>
      </w:r>
    </w:p>
    <w:p w14:paraId="53FFA2E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9.国家法律、法规所规定应由乙方承担的其他责任。</w:t>
      </w:r>
    </w:p>
    <w:p w14:paraId="4E4A9ED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第八条知识产权</w:t>
      </w:r>
    </w:p>
    <w:p w14:paraId="1B3C647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(一)项目执行过程中，乙方编制的所有与本项目有关工作成果的知识产权归属甲方所有。</w:t>
      </w:r>
    </w:p>
    <w:p w14:paraId="586ABA1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(二)乙方无论出于任何目的，如在其他地方使用该成果，必须经甲方同意才可使用。否则，甲方有权要求终止涉及到该知识产权的任何使用活动，并保留追究乙方相应法律责任的权利。</w:t>
      </w:r>
    </w:p>
    <w:p w14:paraId="1024A22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(三)乙方为执行本合同而提供的技术资料使用权归甲方所有。</w:t>
      </w:r>
    </w:p>
    <w:p w14:paraId="65C8A2E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第九条违约责任</w:t>
      </w:r>
    </w:p>
    <w:p w14:paraId="52DCEA0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(一)甲方的违约责任</w:t>
      </w:r>
    </w:p>
    <w:p w14:paraId="56999CA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1.甲方违反约定，不能按时提供技术资料、工作条件或提供技术资料不准确，导致乙方无法按期完成并提交咨询成果的，乙方有权按延误的时间予以顺延。</w:t>
      </w:r>
    </w:p>
    <w:p w14:paraId="0E34BDE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2.甲方因故要求中途终止合同时，应及时书面通知乙方，乙方不退还甲方已支付的咨询费。在上一次付款节点后，乙方又开展的工作，甲方</w:t>
      </w:r>
      <w:r>
        <w:rPr>
          <w:rFonts w:hint="eastAsia" w:asciiTheme="minorEastAsia" w:hAnsiTheme="minorEastAsia" w:eastAsiaTheme="minorEastAsia" w:cstheme="minorEastAsia"/>
          <w:sz w:val="24"/>
          <w:szCs w:val="24"/>
          <w:lang w:val="en-US" w:eastAsia="zh-CN"/>
        </w:rPr>
        <w:t>不再支付</w:t>
      </w:r>
      <w:r>
        <w:rPr>
          <w:rFonts w:hint="eastAsia" w:asciiTheme="minorEastAsia" w:hAnsiTheme="minorEastAsia" w:eastAsiaTheme="minorEastAsia" w:cstheme="minorEastAsia"/>
          <w:sz w:val="24"/>
          <w:szCs w:val="24"/>
        </w:rPr>
        <w:t>相应的咨询费。</w:t>
      </w:r>
    </w:p>
    <w:p w14:paraId="226BB90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3.在乙方无任何违约的情况下，甲方未在约定时间内支付本合同咨询费用的，从应付咨询费用的次日起计算，每延误一天，按本次付款节点应付费用的</w:t>
      </w:r>
      <w:r>
        <w:rPr>
          <w:rFonts w:hint="eastAsia"/>
          <w:sz w:val="24"/>
          <w:szCs w:val="24"/>
          <w:lang w:val="en-US" w:eastAsia="zh-CN"/>
        </w:rPr>
        <w:t>万分之五</w:t>
      </w:r>
      <w:r>
        <w:rPr>
          <w:rFonts w:hint="eastAsia" w:asciiTheme="minorEastAsia" w:hAnsiTheme="minorEastAsia" w:eastAsiaTheme="minorEastAsia" w:cstheme="minorEastAsia"/>
          <w:sz w:val="24"/>
          <w:szCs w:val="24"/>
          <w:lang w:eastAsia="zh-CN"/>
        </w:rPr>
        <w:t>，</w:t>
      </w:r>
      <w:bookmarkStart w:id="1" w:name="_GoBack"/>
      <w:bookmarkEnd w:id="1"/>
      <w:r>
        <w:rPr>
          <w:rFonts w:hint="eastAsia" w:asciiTheme="minorEastAsia" w:hAnsiTheme="minorEastAsia" w:eastAsiaTheme="minorEastAsia" w:cstheme="minorEastAsia"/>
          <w:sz w:val="24"/>
          <w:szCs w:val="24"/>
        </w:rPr>
        <w:t>向乙方支付违约金，违约金最高不超过本次应付款金额。</w:t>
      </w:r>
    </w:p>
    <w:p w14:paraId="302DA4E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(二)乙方的违约责任</w:t>
      </w:r>
    </w:p>
    <w:p w14:paraId="1F2388AD">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1.乙方未按双方约定日期提交咨询成果时，乙方从约定提交日期的次日起计算，每延误一天，按本次付款节点应收金额的2%,作为违约金赔偿甲方，违约金最高不超过本次应付款金额。</w:t>
      </w:r>
    </w:p>
    <w:p w14:paraId="31C93AF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2.乙方故意或重大过失，提供错误或不合格信息而导致甲方损失的，乙方有责任采取补救措施，并按实际情况赔偿甲方因此而造成的损失，同时，按本合同金额的10%,作为违约金赔偿甲方。</w:t>
      </w:r>
    </w:p>
    <w:p w14:paraId="3078A5F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3.乙方恶意违反约定，未按合同约定提交咨询成果的，经书面催告仍不提交报告和修改报告的，甲方有权解除合同，乙方应返还已收取的咨询费用，并按照已收取咨询费30%的比例作为违约金，额外赔偿给甲方。</w:t>
      </w:r>
    </w:p>
    <w:p w14:paraId="427E208D">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.除本条明确约定的违约责任外，乙方未按合同约定履行义务导致甲方损失的，乙方还应承担全部损失赔偿，且甲方有权视情况单方解除本合同。</w:t>
      </w:r>
    </w:p>
    <w:p w14:paraId="15150AF8">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第十条不可抗力</w:t>
      </w:r>
    </w:p>
    <w:p w14:paraId="6783715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(一)由于不可抗力致使本协议无法履行时，双方应及时协商解决。</w:t>
      </w:r>
    </w:p>
    <w:p w14:paraId="5771A75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送达对方时合同解除，双方均不需向对方承担违约责任。</w:t>
      </w:r>
    </w:p>
    <w:p w14:paraId="2802FC4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提出受不可抗力影响的一方，应及时书面通知对方，并在随后的15日内，向对方提供不可抗力发生和持续期间的充分证据。提出受不可抗力影响的一方，还应尽一切合理努力，排除不可抗力对履行合同造成的影响。</w:t>
      </w:r>
    </w:p>
    <w:p w14:paraId="46EDA26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(四)发生不可抗力时，双方应立即进行磋商，寻求合理的解决方案，并且要尽一切合理努力，将不可抗力造成的损失降低到最小程度，因不可抗力造成的损失由甲乙双方各自承担。</w:t>
      </w:r>
    </w:p>
    <w:p w14:paraId="2E53414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eastAsia="宋体" w:asciiTheme="minorEastAsia" w:hAnsiTheme="minorEastAsia" w:cstheme="minorEastAsia"/>
          <w:sz w:val="24"/>
          <w:szCs w:val="24"/>
          <w:lang w:eastAsia="zh-CN"/>
        </w:rPr>
      </w:pPr>
      <w:r>
        <w:rPr>
          <w:rFonts w:hint="eastAsia" w:ascii="宋体" w:hAnsi="宋体" w:eastAsia="宋体" w:cs="宋体"/>
          <w:sz w:val="24"/>
          <w:highlight w:val="none"/>
          <w:lang w:eastAsia="zh-CN"/>
        </w:rPr>
        <w:t>本条</w:t>
      </w:r>
      <w:r>
        <w:rPr>
          <w:rFonts w:hint="eastAsia" w:ascii="宋体" w:hAnsi="宋体" w:cs="宋体"/>
          <w:sz w:val="24"/>
          <w:highlight w:val="none"/>
        </w:rPr>
        <w:t>不可抗力：指</w:t>
      </w:r>
      <w:r>
        <w:rPr>
          <w:rFonts w:hint="eastAsia" w:ascii="宋体" w:hAnsi="宋体" w:cs="宋体"/>
          <w:sz w:val="24"/>
          <w:highlight w:val="none"/>
          <w:lang w:val="en-US" w:eastAsia="zh-CN"/>
        </w:rPr>
        <w:t>自然灾害、战争、疫情、社会异常事件等不能预见、不能避免且不能克服的客观情况</w:t>
      </w:r>
      <w:r>
        <w:rPr>
          <w:rFonts w:hint="eastAsia" w:ascii="宋体" w:hAnsi="宋体" w:eastAsia="宋体" w:cs="宋体"/>
          <w:sz w:val="24"/>
          <w:highlight w:val="none"/>
          <w:lang w:eastAsia="zh-CN"/>
        </w:rPr>
        <w:t>。</w:t>
      </w:r>
    </w:p>
    <w:p w14:paraId="03B5CDB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第十一条争议解决</w:t>
      </w:r>
    </w:p>
    <w:p w14:paraId="462938E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本合同在履行过程中发生的争议，由甲、乙双方当事人协商解决，协商不成的按下列第</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(二)</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种方式解决。</w:t>
      </w:r>
    </w:p>
    <w:p w14:paraId="5E82B0A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(一)提交西安仲裁委员会仲裁。</w:t>
      </w:r>
    </w:p>
    <w:p w14:paraId="53279A8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(二)依法向甲方所在地人民法院起诉。</w:t>
      </w:r>
    </w:p>
    <w:p w14:paraId="542C99D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第十二条保密</w:t>
      </w:r>
    </w:p>
    <w:p w14:paraId="4EC0601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未经对方允许，任何一方不得将对方收集的、整理的、复制的、研究的和准备的，与本合同项下工作有关的一切资料提供给任何第三方。本条规定不影响为推介本项目已经公开发布的任何项目信息。</w:t>
      </w:r>
    </w:p>
    <w:p w14:paraId="2FCE392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任何一方不得将本合同内容，包括咨询费用及支付信息等提供给任何利益冲突第三方(我国现行法律、法规中明确甲方应予以配合提供给相关机构的情况除外)。</w:t>
      </w:r>
    </w:p>
    <w:p w14:paraId="738E8653">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任何一方若违反该条保密条款，给对方造成经济损失，违约方应当承担违约责任与损害赔偿责任。</w:t>
      </w:r>
    </w:p>
    <w:p w14:paraId="7B6DDB2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关于保密的规定在本合同终止后五年内有效。</w:t>
      </w:r>
    </w:p>
    <w:p w14:paraId="69EBD72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第十三条合同生效</w:t>
      </w:r>
    </w:p>
    <w:p w14:paraId="2ECE242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(一)本合同须经甲、乙双方的法定代表人(被授权代表)在合同书上签字并加盖本单位公章后正式生效。</w:t>
      </w:r>
    </w:p>
    <w:p w14:paraId="2603378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(二)合同生效后，甲、乙双方须严格执行本合同条款的规定，全面履行合同。</w:t>
      </w:r>
    </w:p>
    <w:p w14:paraId="7986B9E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(三)本合同一式</w:t>
      </w:r>
      <w:r>
        <w:rPr>
          <w:rFonts w:hint="eastAsia" w:asciiTheme="minorEastAsia" w:hAnsiTheme="minorEastAsia" w:eastAsiaTheme="minorEastAsia" w:cstheme="minorEastAsia"/>
          <w:sz w:val="24"/>
          <w:szCs w:val="24"/>
          <w:lang w:val="en-US" w:eastAsia="zh-CN"/>
        </w:rPr>
        <w:t>陆</w:t>
      </w:r>
      <w:r>
        <w:rPr>
          <w:rFonts w:hint="eastAsia" w:asciiTheme="minorEastAsia" w:hAnsiTheme="minorEastAsia" w:eastAsiaTheme="minorEastAsia" w:cstheme="minorEastAsia"/>
          <w:sz w:val="24"/>
          <w:szCs w:val="24"/>
        </w:rPr>
        <w:t>份，甲乙双方各执</w:t>
      </w:r>
      <w:r>
        <w:rPr>
          <w:rFonts w:hint="eastAsia" w:asciiTheme="minorEastAsia" w:hAnsiTheme="minorEastAsia" w:eastAsiaTheme="minorEastAsia" w:cstheme="minorEastAsia"/>
          <w:sz w:val="24"/>
          <w:szCs w:val="24"/>
          <w:lang w:val="en-US" w:eastAsia="zh-CN"/>
        </w:rPr>
        <w:t>叁</w:t>
      </w:r>
      <w:r>
        <w:rPr>
          <w:rFonts w:hint="eastAsia" w:asciiTheme="minorEastAsia" w:hAnsiTheme="minorEastAsia" w:eastAsiaTheme="minorEastAsia" w:cstheme="minorEastAsia"/>
          <w:sz w:val="24"/>
          <w:szCs w:val="24"/>
        </w:rPr>
        <w:t>份，具有同等法律效力。</w:t>
      </w:r>
    </w:p>
    <w:p w14:paraId="2F646C3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第十四条其它事项</w:t>
      </w:r>
    </w:p>
    <w:p w14:paraId="20C681A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(一)乙方不得将本合同服务项目转让、分包给其它单位或个人。</w:t>
      </w:r>
    </w:p>
    <w:p w14:paraId="79186F4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(二)本合同尾部甲、乙双方的地址视为双方联系的固定通讯地址，若在履行本合同中双方有书面信函往来，该地址为双方法定地址。若其中任何一方变更住所地地址的，应在五日之内通知对方。</w:t>
      </w:r>
    </w:p>
    <w:p w14:paraId="54F17DF3">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合同未尽事宜，由甲、乙双方协商并签订补充合同。本合同附件、补充合同及双方认可的涉及主要内容来往电报、传真、会议纪要等，均为本合同的组成部分，与本合同具有同等法律效力。如补充合同条款与本合同有不一致的，以补充合同为准。</w:t>
      </w:r>
    </w:p>
    <w:p w14:paraId="6D19B09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lang w:eastAsia="zh-CN"/>
        </w:rPr>
        <w:t>分类处理</w:t>
      </w:r>
      <w:r>
        <w:rPr>
          <w:rFonts w:hint="eastAsia" w:asciiTheme="minorEastAsia" w:hAnsiTheme="minorEastAsia" w:eastAsiaTheme="minorEastAsia" w:cstheme="minorEastAsia"/>
          <w:sz w:val="24"/>
          <w:szCs w:val="24"/>
        </w:rPr>
        <w:t>咨询服务人员名单</w:t>
      </w:r>
    </w:p>
    <w:p w14:paraId="3083D11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0E07B090">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甲方：西安市住房和城乡建设局</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eastAsia="zh-CN"/>
        </w:rPr>
        <w:t>乙</w:t>
      </w:r>
      <w:r>
        <w:rPr>
          <w:rFonts w:hint="eastAsia" w:asciiTheme="minorEastAsia" w:hAnsiTheme="minorEastAsia" w:eastAsiaTheme="minorEastAsia" w:cstheme="minorEastAsia"/>
          <w:sz w:val="24"/>
          <w:szCs w:val="24"/>
        </w:rPr>
        <w:t>方：(盖章)</w:t>
      </w:r>
    </w:p>
    <w:p w14:paraId="57475BE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(盖章)</w:t>
      </w:r>
    </w:p>
    <w:p w14:paraId="37E7EF53">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rPr>
        <w:t>地址：</w:t>
      </w:r>
    </w:p>
    <w:p w14:paraId="4859661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sectPr>
          <w:footerReference r:id="rId5" w:type="default"/>
          <w:pgSz w:w="11900" w:h="16840"/>
          <w:pgMar w:top="1431" w:right="1786" w:bottom="1429" w:left="1785" w:header="0" w:footer="1077" w:gutter="0"/>
          <w:cols w:equalWidth="0" w:num="1">
            <w:col w:w="9064"/>
          </w:cols>
        </w:sectPr>
      </w:pPr>
    </w:p>
    <w:p w14:paraId="5F5A85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p>
    <w:p w14:paraId="1474CEF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14:paraId="06AAA25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p>
    <w:p w14:paraId="75A1C43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被授权代表：</w:t>
      </w:r>
    </w:p>
    <w:p w14:paraId="3CC59C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76CC475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3D7A665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p w14:paraId="7F89CA3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w:t>
      </w:r>
    </w:p>
    <w:p w14:paraId="6E3D741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14:paraId="28F3A33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column"/>
      </w:r>
    </w:p>
    <w:p w14:paraId="24369A1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lang w:eastAsia="zh-CN"/>
        </w:rPr>
        <w:t>：</w:t>
      </w:r>
    </w:p>
    <w:p w14:paraId="18ADC64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p>
    <w:p w14:paraId="28E569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被授权代表：</w:t>
      </w:r>
    </w:p>
    <w:p w14:paraId="2A1AA49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4317587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576B66F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p w14:paraId="175AF52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w:t>
      </w:r>
    </w:p>
    <w:p w14:paraId="3CA0A6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p w14:paraId="1620EA84">
      <w:pPr>
        <w:spacing w:line="170" w:lineRule="auto"/>
        <w:rPr>
          <w:rFonts w:hint="eastAsia" w:asciiTheme="minorEastAsia" w:hAnsiTheme="minorEastAsia" w:eastAsiaTheme="minorEastAsia" w:cstheme="minorEastAsia"/>
          <w:sz w:val="28"/>
          <w:szCs w:val="28"/>
        </w:rPr>
        <w:sectPr>
          <w:type w:val="continuous"/>
          <w:pgSz w:w="11900" w:h="16840"/>
          <w:pgMar w:top="1431" w:right="1051" w:bottom="1429" w:left="1785" w:header="0" w:footer="2013" w:gutter="0"/>
          <w:cols w:equalWidth="0" w:num="2">
            <w:col w:w="4375" w:space="100"/>
            <w:col w:w="4589"/>
          </w:cols>
        </w:sectPr>
      </w:pPr>
    </w:p>
    <w:p w14:paraId="4C0EEF02">
      <w:pPr>
        <w:pStyle w:val="2"/>
        <w:spacing w:before="100" w:line="219" w:lineRule="auto"/>
        <w:ind w:left="174"/>
        <w:rPr>
          <w:sz w:val="31"/>
          <w:szCs w:val="31"/>
        </w:rPr>
      </w:pPr>
      <w:r>
        <w:rPr>
          <w:spacing w:val="15"/>
          <w:sz w:val="31"/>
          <w:szCs w:val="31"/>
        </w:rPr>
        <w:t>附件1:</w:t>
      </w:r>
    </w:p>
    <w:p w14:paraId="2A6AC5DB">
      <w:pPr>
        <w:pStyle w:val="2"/>
        <w:spacing w:before="190" w:line="369" w:lineRule="auto"/>
        <w:ind w:right="778"/>
        <w:jc w:val="center"/>
        <w:rPr>
          <w:sz w:val="31"/>
          <w:szCs w:val="31"/>
        </w:rPr>
      </w:pPr>
      <w:r>
        <w:rPr>
          <w:rFonts w:hint="eastAsia"/>
          <w:b/>
          <w:bCs/>
          <w:spacing w:val="-5"/>
          <w:sz w:val="31"/>
          <w:szCs w:val="31"/>
          <w:lang w:eastAsia="zh-CN"/>
        </w:rPr>
        <w:t>分类处理</w:t>
      </w:r>
      <w:r>
        <w:rPr>
          <w:b/>
          <w:bCs/>
          <w:spacing w:val="-5"/>
          <w:sz w:val="31"/>
          <w:szCs w:val="31"/>
        </w:rPr>
        <w:t>咨询服务人员名单</w:t>
      </w:r>
    </w:p>
    <w:tbl>
      <w:tblPr>
        <w:tblStyle w:val="7"/>
        <w:tblW w:w="86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1278"/>
        <w:gridCol w:w="1239"/>
        <w:gridCol w:w="1488"/>
        <w:gridCol w:w="1478"/>
        <w:gridCol w:w="2312"/>
      </w:tblGrid>
      <w:tr w14:paraId="27FEE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trPr>
        <w:tc>
          <w:tcPr>
            <w:tcW w:w="874" w:type="dxa"/>
            <w:vAlign w:val="top"/>
          </w:tcPr>
          <w:p w14:paraId="7B8BF445">
            <w:pPr>
              <w:pStyle w:val="8"/>
              <w:spacing w:before="234" w:line="219" w:lineRule="auto"/>
              <w:ind w:left="195"/>
            </w:pPr>
            <w:r>
              <w:rPr>
                <w:spacing w:val="14"/>
              </w:rPr>
              <w:t>姓名</w:t>
            </w:r>
          </w:p>
        </w:tc>
        <w:tc>
          <w:tcPr>
            <w:tcW w:w="1278" w:type="dxa"/>
            <w:vAlign w:val="top"/>
          </w:tcPr>
          <w:p w14:paraId="6F93F617">
            <w:pPr>
              <w:pStyle w:val="8"/>
              <w:spacing w:before="64" w:line="219" w:lineRule="auto"/>
              <w:ind w:left="110"/>
            </w:pPr>
            <w:r>
              <w:rPr>
                <w:spacing w:val="1"/>
              </w:rPr>
              <w:t>资格/注册</w:t>
            </w:r>
          </w:p>
          <w:p w14:paraId="415E24DA">
            <w:pPr>
              <w:pStyle w:val="8"/>
              <w:spacing w:before="35" w:line="219" w:lineRule="auto"/>
              <w:ind w:left="400"/>
            </w:pPr>
            <w:r>
              <w:rPr>
                <w:spacing w:val="7"/>
              </w:rPr>
              <w:t>证书</w:t>
            </w:r>
          </w:p>
        </w:tc>
        <w:tc>
          <w:tcPr>
            <w:tcW w:w="1239" w:type="dxa"/>
            <w:vAlign w:val="top"/>
          </w:tcPr>
          <w:p w14:paraId="77C2D4C8">
            <w:pPr>
              <w:pStyle w:val="8"/>
              <w:spacing w:before="237" w:line="221" w:lineRule="auto"/>
              <w:ind w:left="382"/>
            </w:pPr>
            <w:r>
              <w:rPr>
                <w:spacing w:val="5"/>
              </w:rPr>
              <w:t>职称</w:t>
            </w:r>
          </w:p>
        </w:tc>
        <w:tc>
          <w:tcPr>
            <w:tcW w:w="1488" w:type="dxa"/>
            <w:vAlign w:val="top"/>
          </w:tcPr>
          <w:p w14:paraId="16C5D4AE">
            <w:pPr>
              <w:pStyle w:val="8"/>
              <w:spacing w:before="235" w:line="220" w:lineRule="auto"/>
              <w:ind w:left="273"/>
            </w:pPr>
            <w:r>
              <w:rPr>
                <w:spacing w:val="3"/>
              </w:rPr>
              <w:t>岗位职责</w:t>
            </w:r>
          </w:p>
        </w:tc>
        <w:tc>
          <w:tcPr>
            <w:tcW w:w="1478" w:type="dxa"/>
            <w:vAlign w:val="top"/>
          </w:tcPr>
          <w:p w14:paraId="16CC2908">
            <w:pPr>
              <w:pStyle w:val="8"/>
              <w:spacing w:before="237" w:line="221" w:lineRule="auto"/>
              <w:ind w:left="275"/>
            </w:pPr>
            <w:r>
              <w:rPr>
                <w:spacing w:val="-2"/>
              </w:rPr>
              <w:t>联系电话</w:t>
            </w:r>
          </w:p>
        </w:tc>
        <w:tc>
          <w:tcPr>
            <w:tcW w:w="2312" w:type="dxa"/>
            <w:vAlign w:val="top"/>
          </w:tcPr>
          <w:p w14:paraId="161BF24C">
            <w:pPr>
              <w:pStyle w:val="8"/>
              <w:spacing w:before="235" w:line="221" w:lineRule="auto"/>
              <w:ind w:left="917"/>
            </w:pPr>
            <w:r>
              <w:rPr>
                <w:spacing w:val="5"/>
              </w:rPr>
              <w:t>备注</w:t>
            </w:r>
          </w:p>
        </w:tc>
      </w:tr>
      <w:tr w14:paraId="08C7B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874" w:type="dxa"/>
            <w:vAlign w:val="top"/>
          </w:tcPr>
          <w:p w14:paraId="0C3D2DF7">
            <w:pPr>
              <w:pStyle w:val="8"/>
              <w:spacing w:before="118" w:line="221" w:lineRule="auto"/>
              <w:ind w:left="195"/>
            </w:pPr>
          </w:p>
        </w:tc>
        <w:tc>
          <w:tcPr>
            <w:tcW w:w="1278" w:type="dxa"/>
            <w:vAlign w:val="top"/>
          </w:tcPr>
          <w:p w14:paraId="5D9013A7">
            <w:pPr>
              <w:pStyle w:val="8"/>
              <w:spacing w:before="124" w:line="224" w:lineRule="auto"/>
              <w:ind w:left="571"/>
            </w:pPr>
          </w:p>
        </w:tc>
        <w:tc>
          <w:tcPr>
            <w:tcW w:w="1239" w:type="dxa"/>
            <w:vAlign w:val="top"/>
          </w:tcPr>
          <w:p w14:paraId="7B2F755B">
            <w:pPr>
              <w:pStyle w:val="8"/>
              <w:spacing w:before="124" w:line="224" w:lineRule="auto"/>
              <w:ind w:left="552"/>
            </w:pPr>
          </w:p>
        </w:tc>
        <w:tc>
          <w:tcPr>
            <w:tcW w:w="1488" w:type="dxa"/>
            <w:vAlign w:val="top"/>
          </w:tcPr>
          <w:p w14:paraId="5D86998B">
            <w:pPr>
              <w:pStyle w:val="8"/>
              <w:spacing w:before="118" w:line="220" w:lineRule="auto"/>
              <w:ind w:left="503"/>
            </w:pPr>
          </w:p>
        </w:tc>
        <w:tc>
          <w:tcPr>
            <w:tcW w:w="1478" w:type="dxa"/>
            <w:vAlign w:val="top"/>
          </w:tcPr>
          <w:p w14:paraId="3159142B">
            <w:pPr>
              <w:pStyle w:val="8"/>
              <w:spacing w:before="139"/>
              <w:ind w:left="96"/>
            </w:pPr>
          </w:p>
        </w:tc>
        <w:tc>
          <w:tcPr>
            <w:tcW w:w="2312" w:type="dxa"/>
            <w:vAlign w:val="top"/>
          </w:tcPr>
          <w:p w14:paraId="60FF6536">
            <w:pPr>
              <w:rPr>
                <w:rFonts w:ascii="Arial"/>
                <w:sz w:val="21"/>
              </w:rPr>
            </w:pPr>
          </w:p>
        </w:tc>
      </w:tr>
      <w:tr w14:paraId="07775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874" w:type="dxa"/>
            <w:vAlign w:val="top"/>
          </w:tcPr>
          <w:p w14:paraId="1C276D74">
            <w:pPr>
              <w:rPr>
                <w:rFonts w:ascii="Arial"/>
                <w:sz w:val="21"/>
              </w:rPr>
            </w:pPr>
          </w:p>
        </w:tc>
        <w:tc>
          <w:tcPr>
            <w:tcW w:w="1278" w:type="dxa"/>
            <w:vAlign w:val="top"/>
          </w:tcPr>
          <w:p w14:paraId="3B23D698">
            <w:pPr>
              <w:rPr>
                <w:rFonts w:ascii="Arial"/>
                <w:sz w:val="21"/>
              </w:rPr>
            </w:pPr>
          </w:p>
        </w:tc>
        <w:tc>
          <w:tcPr>
            <w:tcW w:w="1239" w:type="dxa"/>
            <w:vAlign w:val="top"/>
          </w:tcPr>
          <w:p w14:paraId="00B24A68">
            <w:pPr>
              <w:rPr>
                <w:rFonts w:ascii="Arial"/>
                <w:sz w:val="21"/>
              </w:rPr>
            </w:pPr>
          </w:p>
        </w:tc>
        <w:tc>
          <w:tcPr>
            <w:tcW w:w="1488" w:type="dxa"/>
            <w:vAlign w:val="top"/>
          </w:tcPr>
          <w:p w14:paraId="508E3E8D">
            <w:pPr>
              <w:pStyle w:val="8"/>
              <w:spacing w:before="220" w:line="175" w:lineRule="auto"/>
              <w:ind w:left="394"/>
            </w:pPr>
          </w:p>
        </w:tc>
        <w:tc>
          <w:tcPr>
            <w:tcW w:w="1478" w:type="dxa"/>
            <w:vAlign w:val="top"/>
          </w:tcPr>
          <w:p w14:paraId="69C2F096">
            <w:pPr>
              <w:rPr>
                <w:rFonts w:ascii="Arial"/>
                <w:sz w:val="21"/>
              </w:rPr>
            </w:pPr>
          </w:p>
        </w:tc>
        <w:tc>
          <w:tcPr>
            <w:tcW w:w="2312" w:type="dxa"/>
            <w:vAlign w:val="top"/>
          </w:tcPr>
          <w:p w14:paraId="7A1D0046">
            <w:pPr>
              <w:rPr>
                <w:rFonts w:ascii="Arial"/>
                <w:sz w:val="21"/>
              </w:rPr>
            </w:pPr>
          </w:p>
        </w:tc>
      </w:tr>
      <w:tr w14:paraId="41BB4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2321682D">
            <w:pPr>
              <w:rPr>
                <w:rFonts w:ascii="Arial"/>
                <w:sz w:val="21"/>
              </w:rPr>
            </w:pPr>
          </w:p>
        </w:tc>
        <w:tc>
          <w:tcPr>
            <w:tcW w:w="1278" w:type="dxa"/>
            <w:vAlign w:val="top"/>
          </w:tcPr>
          <w:p w14:paraId="47F85F17">
            <w:pPr>
              <w:rPr>
                <w:rFonts w:ascii="Arial"/>
                <w:sz w:val="21"/>
              </w:rPr>
            </w:pPr>
          </w:p>
        </w:tc>
        <w:tc>
          <w:tcPr>
            <w:tcW w:w="1239" w:type="dxa"/>
            <w:vAlign w:val="top"/>
          </w:tcPr>
          <w:p w14:paraId="126953F4">
            <w:pPr>
              <w:rPr>
                <w:rFonts w:ascii="Arial"/>
                <w:sz w:val="21"/>
              </w:rPr>
            </w:pPr>
          </w:p>
        </w:tc>
        <w:tc>
          <w:tcPr>
            <w:tcW w:w="1488" w:type="dxa"/>
            <w:vAlign w:val="top"/>
          </w:tcPr>
          <w:p w14:paraId="15C8557A">
            <w:pPr>
              <w:rPr>
                <w:rFonts w:ascii="Arial"/>
                <w:sz w:val="21"/>
              </w:rPr>
            </w:pPr>
          </w:p>
        </w:tc>
        <w:tc>
          <w:tcPr>
            <w:tcW w:w="1478" w:type="dxa"/>
            <w:vAlign w:val="top"/>
          </w:tcPr>
          <w:p w14:paraId="045B948D">
            <w:pPr>
              <w:rPr>
                <w:rFonts w:ascii="Arial"/>
                <w:sz w:val="21"/>
              </w:rPr>
            </w:pPr>
          </w:p>
        </w:tc>
        <w:tc>
          <w:tcPr>
            <w:tcW w:w="2312" w:type="dxa"/>
            <w:vAlign w:val="top"/>
          </w:tcPr>
          <w:p w14:paraId="50A1E750">
            <w:pPr>
              <w:rPr>
                <w:rFonts w:ascii="Arial"/>
                <w:sz w:val="21"/>
              </w:rPr>
            </w:pPr>
          </w:p>
        </w:tc>
      </w:tr>
      <w:tr w14:paraId="36874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3F6A4ACB">
            <w:pPr>
              <w:rPr>
                <w:rFonts w:ascii="Arial"/>
                <w:sz w:val="21"/>
              </w:rPr>
            </w:pPr>
          </w:p>
        </w:tc>
        <w:tc>
          <w:tcPr>
            <w:tcW w:w="1278" w:type="dxa"/>
            <w:vAlign w:val="top"/>
          </w:tcPr>
          <w:p w14:paraId="4CF28EB1">
            <w:pPr>
              <w:rPr>
                <w:rFonts w:ascii="Arial"/>
                <w:sz w:val="21"/>
              </w:rPr>
            </w:pPr>
          </w:p>
        </w:tc>
        <w:tc>
          <w:tcPr>
            <w:tcW w:w="1239" w:type="dxa"/>
            <w:vAlign w:val="top"/>
          </w:tcPr>
          <w:p w14:paraId="2C9A1378">
            <w:pPr>
              <w:rPr>
                <w:rFonts w:ascii="Arial"/>
                <w:sz w:val="21"/>
              </w:rPr>
            </w:pPr>
          </w:p>
        </w:tc>
        <w:tc>
          <w:tcPr>
            <w:tcW w:w="1488" w:type="dxa"/>
            <w:vAlign w:val="top"/>
          </w:tcPr>
          <w:p w14:paraId="0E28F5DA">
            <w:pPr>
              <w:rPr>
                <w:rFonts w:ascii="Arial"/>
                <w:sz w:val="21"/>
              </w:rPr>
            </w:pPr>
          </w:p>
        </w:tc>
        <w:tc>
          <w:tcPr>
            <w:tcW w:w="1478" w:type="dxa"/>
            <w:vAlign w:val="top"/>
          </w:tcPr>
          <w:p w14:paraId="04ACA042">
            <w:pPr>
              <w:rPr>
                <w:rFonts w:ascii="Arial"/>
                <w:sz w:val="21"/>
              </w:rPr>
            </w:pPr>
          </w:p>
        </w:tc>
        <w:tc>
          <w:tcPr>
            <w:tcW w:w="2312" w:type="dxa"/>
            <w:vAlign w:val="top"/>
          </w:tcPr>
          <w:p w14:paraId="2CC9AAEF">
            <w:pPr>
              <w:rPr>
                <w:rFonts w:ascii="Arial"/>
                <w:sz w:val="21"/>
              </w:rPr>
            </w:pPr>
          </w:p>
        </w:tc>
      </w:tr>
      <w:tr w14:paraId="4F297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3DA0E3BA">
            <w:pPr>
              <w:rPr>
                <w:rFonts w:ascii="Arial"/>
                <w:sz w:val="21"/>
              </w:rPr>
            </w:pPr>
          </w:p>
        </w:tc>
        <w:tc>
          <w:tcPr>
            <w:tcW w:w="1278" w:type="dxa"/>
            <w:vAlign w:val="top"/>
          </w:tcPr>
          <w:p w14:paraId="65332F03">
            <w:pPr>
              <w:rPr>
                <w:rFonts w:ascii="Arial"/>
                <w:sz w:val="21"/>
              </w:rPr>
            </w:pPr>
          </w:p>
        </w:tc>
        <w:tc>
          <w:tcPr>
            <w:tcW w:w="1239" w:type="dxa"/>
            <w:vAlign w:val="top"/>
          </w:tcPr>
          <w:p w14:paraId="74B4CA17">
            <w:pPr>
              <w:rPr>
                <w:rFonts w:ascii="Arial"/>
                <w:sz w:val="21"/>
              </w:rPr>
            </w:pPr>
          </w:p>
        </w:tc>
        <w:tc>
          <w:tcPr>
            <w:tcW w:w="1488" w:type="dxa"/>
            <w:vAlign w:val="top"/>
          </w:tcPr>
          <w:p w14:paraId="73331D21">
            <w:pPr>
              <w:rPr>
                <w:rFonts w:ascii="Arial"/>
                <w:sz w:val="21"/>
              </w:rPr>
            </w:pPr>
          </w:p>
        </w:tc>
        <w:tc>
          <w:tcPr>
            <w:tcW w:w="1478" w:type="dxa"/>
            <w:vAlign w:val="top"/>
          </w:tcPr>
          <w:p w14:paraId="7DD2CBF1">
            <w:pPr>
              <w:rPr>
                <w:rFonts w:ascii="Arial"/>
                <w:sz w:val="21"/>
              </w:rPr>
            </w:pPr>
          </w:p>
        </w:tc>
        <w:tc>
          <w:tcPr>
            <w:tcW w:w="2312" w:type="dxa"/>
            <w:vAlign w:val="top"/>
          </w:tcPr>
          <w:p w14:paraId="53051914">
            <w:pPr>
              <w:rPr>
                <w:rFonts w:ascii="Arial"/>
                <w:sz w:val="21"/>
              </w:rPr>
            </w:pPr>
          </w:p>
        </w:tc>
      </w:tr>
      <w:tr w14:paraId="08F1D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874" w:type="dxa"/>
            <w:vAlign w:val="top"/>
          </w:tcPr>
          <w:p w14:paraId="0586A048">
            <w:pPr>
              <w:rPr>
                <w:rFonts w:ascii="Arial"/>
                <w:sz w:val="21"/>
              </w:rPr>
            </w:pPr>
          </w:p>
        </w:tc>
        <w:tc>
          <w:tcPr>
            <w:tcW w:w="1278" w:type="dxa"/>
            <w:vAlign w:val="top"/>
          </w:tcPr>
          <w:p w14:paraId="645B1E80">
            <w:pPr>
              <w:rPr>
                <w:rFonts w:ascii="Arial"/>
                <w:sz w:val="21"/>
              </w:rPr>
            </w:pPr>
          </w:p>
        </w:tc>
        <w:tc>
          <w:tcPr>
            <w:tcW w:w="1239" w:type="dxa"/>
            <w:vAlign w:val="top"/>
          </w:tcPr>
          <w:p w14:paraId="26D9229F">
            <w:pPr>
              <w:rPr>
                <w:rFonts w:ascii="Arial"/>
                <w:sz w:val="21"/>
              </w:rPr>
            </w:pPr>
          </w:p>
        </w:tc>
        <w:tc>
          <w:tcPr>
            <w:tcW w:w="1488" w:type="dxa"/>
            <w:vAlign w:val="top"/>
          </w:tcPr>
          <w:p w14:paraId="396F3184">
            <w:pPr>
              <w:rPr>
                <w:rFonts w:ascii="Arial"/>
                <w:sz w:val="21"/>
              </w:rPr>
            </w:pPr>
          </w:p>
        </w:tc>
        <w:tc>
          <w:tcPr>
            <w:tcW w:w="1478" w:type="dxa"/>
            <w:vAlign w:val="top"/>
          </w:tcPr>
          <w:p w14:paraId="3233F570">
            <w:pPr>
              <w:rPr>
                <w:rFonts w:ascii="Arial"/>
                <w:sz w:val="21"/>
              </w:rPr>
            </w:pPr>
          </w:p>
        </w:tc>
        <w:tc>
          <w:tcPr>
            <w:tcW w:w="2312" w:type="dxa"/>
            <w:vAlign w:val="top"/>
          </w:tcPr>
          <w:p w14:paraId="2A90B5F0">
            <w:pPr>
              <w:rPr>
                <w:rFonts w:ascii="Arial"/>
                <w:sz w:val="21"/>
              </w:rPr>
            </w:pPr>
          </w:p>
        </w:tc>
      </w:tr>
    </w:tbl>
    <w:p w14:paraId="18855DA1">
      <w:pPr>
        <w:rPr>
          <w:rFonts w:ascii="Arial"/>
          <w:sz w:val="21"/>
        </w:rPr>
      </w:pPr>
    </w:p>
    <w:sectPr>
      <w:footerReference r:id="rId6" w:type="default"/>
      <w:pgSz w:w="11900" w:h="16840"/>
      <w:pgMar w:top="1431" w:right="1358" w:bottom="1429" w:left="1735" w:header="0" w:footer="198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D542D">
    <w:pPr>
      <w:pStyle w:val="2"/>
      <w:spacing w:before="1" w:line="233" w:lineRule="auto"/>
      <w:ind w:left="7965"/>
      <w:rPr>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8FF11">
    <w:pPr>
      <w:pStyle w:val="2"/>
      <w:spacing w:before="1" w:line="233" w:lineRule="auto"/>
      <w:jc w:val="right"/>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trackRevisions w:val="1"/>
  <w:documentProtection w:enforcement="0"/>
  <w:defaultTabStop w:val="499"/>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104908"/>
    <w:rsid w:val="0FDF122E"/>
    <w:rsid w:val="11097C03"/>
    <w:rsid w:val="150C009A"/>
    <w:rsid w:val="18570B7C"/>
    <w:rsid w:val="19E51499"/>
    <w:rsid w:val="1CD02E6C"/>
    <w:rsid w:val="1ED66283"/>
    <w:rsid w:val="1EFE26B3"/>
    <w:rsid w:val="219C6662"/>
    <w:rsid w:val="233F1C1A"/>
    <w:rsid w:val="23751BE7"/>
    <w:rsid w:val="23CC64D6"/>
    <w:rsid w:val="2507390B"/>
    <w:rsid w:val="25981E59"/>
    <w:rsid w:val="2D41715E"/>
    <w:rsid w:val="300F506A"/>
    <w:rsid w:val="380F53F0"/>
    <w:rsid w:val="38F37115"/>
    <w:rsid w:val="3BA76953"/>
    <w:rsid w:val="41320BB8"/>
    <w:rsid w:val="419F3BFB"/>
    <w:rsid w:val="45BF3C54"/>
    <w:rsid w:val="467A1037"/>
    <w:rsid w:val="53762B86"/>
    <w:rsid w:val="5C727B29"/>
    <w:rsid w:val="61F40DE2"/>
    <w:rsid w:val="62314848"/>
    <w:rsid w:val="6C2D5283"/>
    <w:rsid w:val="701D4DE9"/>
    <w:rsid w:val="76BD44A5"/>
    <w:rsid w:val="7D5510BB"/>
    <w:rsid w:val="7D967CB3"/>
    <w:rsid w:val="7D997EE8"/>
    <w:rsid w:val="7DB34E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4"/>
      <w:szCs w:val="3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3851</Words>
  <Characters>3924</Characters>
  <TotalTime>2</TotalTime>
  <ScaleCrop>false</ScaleCrop>
  <LinksUpToDate>false</LinksUpToDate>
  <CharactersWithSpaces>3997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2026-03-11T14:20:00Z</dcterms:created>
  <dc:creator>Administrator</dc:creator>
  <cp:lastModifiedBy>子夜</cp:lastModifiedBy>
  <dcterms:modified xsi:type="dcterms:W3CDTF">2026-03-20T00:53:55Z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2026-03-11T14:20:47Z</vt:filetime>
  </property>
  <property fmtid="{D5CDD505-2E9C-101B-9397-08002B2CF9AE}" pid="4" name="UsrData">
    <vt:lpwstr>69b109b95b4fbf001fbc4e6bwl</vt:lpwstr>
  </property>
  <property fmtid="{D5CDD505-2E9C-101B-9397-08002B2CF9AE}" pid="5" name="KSOTemplateDocerSaveRecord">
    <vt:lpwstr>eyJoZGlkIjoiMTE2NTIxMGQzNmYxODZlY2I2M2Q0ZTkzODVmYjlmMjUiLCJ1c2VySWQiOiIyNjAwNjc5MjkifQ==</vt:lpwstr>
  </property>
  <property fmtid="{D5CDD505-2E9C-101B-9397-08002B2CF9AE}" pid="6" name="KSOProductBuildVer">
    <vt:lpwstr>2052-12.1.0.25225</vt:lpwstr>
  </property>
  <property fmtid="{D5CDD505-2E9C-101B-9397-08002B2CF9AE}" pid="7" name="ICV">
    <vt:lpwstr>E7A20C8DCBF7400C8E2248460E4187C6_12</vt:lpwstr>
  </property>
</Properties>
</file>