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722E5">
      <w:pPr>
        <w:pStyle w:val="4"/>
        <w:rPr>
          <w:rFonts w:hint="eastAsia"/>
          <w:highlight w:val="none"/>
          <w:lang w:val="en-US" w:eastAsia="zh-CN"/>
        </w:rPr>
      </w:pPr>
    </w:p>
    <w:p w14:paraId="139CD59B">
      <w:pPr>
        <w:spacing w:before="0" w:after="0" w:line="500" w:lineRule="exact"/>
        <w:jc w:val="center"/>
        <w:rPr>
          <w:rFonts w:hint="eastAsia" w:ascii="宋体" w:hAnsi="宋体" w:eastAsia="宋体" w:cs="宋体"/>
          <w:b/>
          <w:bCs/>
          <w:kern w:val="0"/>
          <w:sz w:val="36"/>
          <w:szCs w:val="36"/>
          <w:highlight w:val="none"/>
          <w:lang w:val="en-US" w:eastAsia="zh-CN"/>
        </w:rPr>
      </w:pPr>
      <w:r>
        <w:rPr>
          <w:rFonts w:hint="eastAsia" w:ascii="宋体" w:hAnsi="宋体" w:cs="宋体"/>
          <w:b/>
          <w:bCs/>
          <w:kern w:val="0"/>
          <w:sz w:val="36"/>
          <w:szCs w:val="36"/>
          <w:highlight w:val="none"/>
          <w:lang w:val="en-US" w:eastAsia="zh-CN"/>
        </w:rPr>
        <w:t>生态保护红线保护成效评估项目</w:t>
      </w:r>
    </w:p>
    <w:p w14:paraId="453630EA">
      <w:pPr>
        <w:pStyle w:val="5"/>
        <w:jc w:val="center"/>
        <w:rPr>
          <w:rFonts w:hint="eastAsia" w:ascii="Arial Unicode MS" w:hAnsi="黑体" w:eastAsia="Arial Unicode MS" w:cs="黑体"/>
          <w:spacing w:val="-20"/>
          <w:sz w:val="44"/>
          <w:szCs w:val="44"/>
          <w:highlight w:val="yellow"/>
          <w:lang w:val="en-US" w:eastAsia="zh-CN"/>
        </w:rPr>
      </w:pPr>
    </w:p>
    <w:p w14:paraId="5FDE336F">
      <w:pPr>
        <w:spacing w:before="0" w:after="0" w:line="500" w:lineRule="exact"/>
        <w:jc w:val="center"/>
        <w:rPr>
          <w:rFonts w:hint="eastAsia" w:ascii="宋体" w:hAnsi="宋体" w:eastAsia="宋体" w:cs="宋体"/>
          <w:b/>
          <w:bCs/>
          <w:kern w:val="0"/>
          <w:sz w:val="52"/>
          <w:szCs w:val="52"/>
          <w:lang w:val="en-US" w:eastAsia="zh-CN"/>
        </w:rPr>
      </w:pPr>
    </w:p>
    <w:p w14:paraId="4AA5F9E3">
      <w:pPr>
        <w:pStyle w:val="4"/>
        <w:rPr>
          <w:rFonts w:hint="eastAsia"/>
          <w:lang w:val="en-US" w:eastAsia="zh-CN"/>
        </w:rPr>
      </w:pPr>
    </w:p>
    <w:p w14:paraId="15C7A2E2">
      <w:pPr>
        <w:spacing w:before="0" w:after="0" w:line="500" w:lineRule="exact"/>
        <w:jc w:val="center"/>
        <w:rPr>
          <w:rFonts w:hint="eastAsia" w:ascii="宋体" w:hAnsi="宋体" w:eastAsia="宋体" w:cs="宋体"/>
          <w:b/>
          <w:bCs/>
          <w:kern w:val="0"/>
          <w:sz w:val="52"/>
          <w:szCs w:val="52"/>
          <w:lang w:val="en-US" w:eastAsia="zh-CN"/>
        </w:rPr>
      </w:pPr>
    </w:p>
    <w:p w14:paraId="40C51A05">
      <w:pPr>
        <w:spacing w:before="0" w:after="0" w:line="500" w:lineRule="exact"/>
        <w:jc w:val="center"/>
        <w:rPr>
          <w:rFonts w:hint="eastAsia" w:ascii="宋体" w:hAnsi="宋体" w:eastAsia="宋体" w:cs="宋体"/>
          <w:b/>
          <w:bCs/>
          <w:kern w:val="0"/>
          <w:sz w:val="52"/>
          <w:szCs w:val="52"/>
          <w:lang w:val="en-US" w:eastAsia="zh-CN"/>
        </w:rPr>
      </w:pPr>
      <w:r>
        <w:rPr>
          <w:rFonts w:hint="eastAsia" w:ascii="宋体" w:hAnsi="宋体" w:eastAsia="宋体" w:cs="宋体"/>
          <w:b/>
          <w:bCs/>
          <w:kern w:val="0"/>
          <w:sz w:val="52"/>
          <w:szCs w:val="52"/>
          <w:lang w:val="en-US" w:eastAsia="zh-CN"/>
        </w:rPr>
        <w:t>政府采购合同</w:t>
      </w:r>
    </w:p>
    <w:p w14:paraId="588242C6">
      <w:pPr>
        <w:spacing w:after="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（注：本合同样本仅供参考，具体条款内容由采购人和成交供应商协商确定，但不得改变采购文件、响应文件、成交通知书等实质性内容。）</w:t>
      </w:r>
    </w:p>
    <w:p w14:paraId="43181BDA">
      <w:pPr>
        <w:pStyle w:val="5"/>
        <w:jc w:val="center"/>
        <w:rPr>
          <w:rFonts w:hint="default" w:ascii="Arial Unicode MS" w:hAnsi="黑体" w:eastAsia="Arial Unicode MS" w:cs="黑体"/>
          <w:spacing w:val="-20"/>
          <w:sz w:val="44"/>
          <w:szCs w:val="44"/>
          <w:lang w:val="en-US" w:eastAsia="zh-CN"/>
        </w:rPr>
      </w:pPr>
    </w:p>
    <w:p w14:paraId="3B3D9BFE">
      <w:pPr>
        <w:pStyle w:val="5"/>
        <w:jc w:val="center"/>
        <w:rPr>
          <w:rFonts w:hint="eastAsia" w:ascii="宋体" w:hAnsi="宋体" w:eastAsia="宋体" w:cs="宋体"/>
          <w:b/>
          <w:bCs/>
          <w:kern w:val="0"/>
          <w:sz w:val="36"/>
          <w:szCs w:val="36"/>
          <w:lang w:val="en-US" w:eastAsia="zh-CN"/>
        </w:rPr>
      </w:pPr>
    </w:p>
    <w:p w14:paraId="07DD60C5">
      <w:pPr>
        <w:pStyle w:val="5"/>
        <w:jc w:val="center"/>
        <w:rPr>
          <w:rFonts w:hint="eastAsia" w:ascii="宋体" w:hAnsi="宋体" w:eastAsia="宋体" w:cs="宋体"/>
          <w:b/>
          <w:bCs/>
          <w:kern w:val="0"/>
          <w:sz w:val="36"/>
          <w:szCs w:val="36"/>
          <w:lang w:val="en-US" w:eastAsia="zh-CN"/>
        </w:rPr>
      </w:pPr>
    </w:p>
    <w:p w14:paraId="3BE1C712">
      <w:pPr>
        <w:pStyle w:val="5"/>
        <w:jc w:val="center"/>
        <w:rPr>
          <w:rFonts w:hint="eastAsia" w:ascii="宋体" w:hAnsi="宋体" w:eastAsia="宋体" w:cs="宋体"/>
          <w:b/>
          <w:bCs/>
          <w:kern w:val="0"/>
          <w:sz w:val="36"/>
          <w:szCs w:val="36"/>
          <w:lang w:val="en-US" w:eastAsia="zh-CN"/>
        </w:rPr>
      </w:pPr>
    </w:p>
    <w:p w14:paraId="30CD3DBC">
      <w:pPr>
        <w:pStyle w:val="5"/>
        <w:jc w:val="center"/>
        <w:rPr>
          <w:rFonts w:hint="default" w:ascii="宋体" w:hAnsi="宋体" w:eastAsia="宋体" w:cs="宋体"/>
          <w:b/>
          <w:bCs/>
          <w:kern w:val="0"/>
          <w:sz w:val="52"/>
          <w:szCs w:val="52"/>
          <w:lang w:val="en-US" w:eastAsia="zh-CN"/>
        </w:rPr>
      </w:pPr>
      <w:r>
        <w:rPr>
          <w:rFonts w:hint="eastAsia" w:ascii="宋体" w:hAnsi="宋体" w:eastAsia="宋体" w:cs="宋体"/>
          <w:b/>
          <w:bCs/>
          <w:kern w:val="0"/>
          <w:sz w:val="36"/>
          <w:szCs w:val="36"/>
          <w:lang w:val="en-US" w:eastAsia="zh-CN"/>
        </w:rPr>
        <w:t>（示范文本）</w:t>
      </w:r>
    </w:p>
    <w:p w14:paraId="10DA1DC3">
      <w:pPr>
        <w:spacing w:before="0" w:after="0" w:line="500" w:lineRule="exact"/>
        <w:ind w:firstLine="480" w:firstLineChars="200"/>
        <w:jc w:val="both"/>
        <w:rPr>
          <w:rFonts w:hint="eastAsia" w:ascii="宋体" w:hAnsi="宋体" w:eastAsia="宋体" w:cs="宋体"/>
          <w:kern w:val="0"/>
          <w:sz w:val="24"/>
          <w:szCs w:val="24"/>
          <w:lang w:val="en-US" w:eastAsia="zh-CN"/>
        </w:rPr>
      </w:pPr>
    </w:p>
    <w:p w14:paraId="7241AB84">
      <w:pPr>
        <w:spacing w:before="0" w:after="0" w:line="500" w:lineRule="exact"/>
        <w:ind w:firstLine="480" w:firstLineChars="200"/>
        <w:jc w:val="both"/>
        <w:rPr>
          <w:rFonts w:hint="eastAsia" w:ascii="宋体" w:hAnsi="宋体" w:eastAsia="宋体" w:cs="宋体"/>
          <w:kern w:val="0"/>
          <w:sz w:val="24"/>
          <w:szCs w:val="24"/>
          <w:lang w:val="en-US" w:eastAsia="zh-CN"/>
        </w:rPr>
      </w:pPr>
    </w:p>
    <w:p w14:paraId="502287A8">
      <w:pPr>
        <w:spacing w:before="0" w:after="0" w:line="500" w:lineRule="exact"/>
        <w:jc w:val="both"/>
        <w:rPr>
          <w:rFonts w:hint="eastAsia" w:ascii="宋体" w:hAnsi="宋体" w:eastAsia="宋体" w:cs="宋体"/>
          <w:b/>
          <w:bCs/>
          <w:kern w:val="0"/>
          <w:sz w:val="36"/>
          <w:szCs w:val="36"/>
          <w:highlight w:val="none"/>
          <w:lang w:val="en-US" w:eastAsia="zh-CN"/>
        </w:rPr>
      </w:pPr>
    </w:p>
    <w:p w14:paraId="386B8610">
      <w:pPr>
        <w:rPr>
          <w:rFonts w:hint="eastAsia" w:ascii="宋体" w:hAnsi="宋体" w:eastAsia="宋体" w:cs="宋体"/>
          <w:b/>
          <w:bCs/>
          <w:kern w:val="0"/>
          <w:sz w:val="36"/>
          <w:szCs w:val="36"/>
          <w:highlight w:val="none"/>
          <w:lang w:val="en-US" w:eastAsia="zh-CN"/>
        </w:rPr>
      </w:pPr>
      <w:r>
        <w:rPr>
          <w:rFonts w:hint="eastAsia" w:ascii="宋体" w:hAnsi="宋体" w:eastAsia="宋体" w:cs="宋体"/>
          <w:b/>
          <w:bCs/>
          <w:kern w:val="0"/>
          <w:sz w:val="36"/>
          <w:szCs w:val="36"/>
          <w:highlight w:val="none"/>
          <w:lang w:val="en-US" w:eastAsia="zh-CN"/>
        </w:rPr>
        <w:br w:type="page"/>
      </w:r>
    </w:p>
    <w:p w14:paraId="711B1BD6">
      <w:pPr>
        <w:spacing w:before="0" w:after="0" w:line="500" w:lineRule="exact"/>
        <w:ind w:firstLine="723" w:firstLineChars="200"/>
        <w:jc w:val="center"/>
        <w:rPr>
          <w:rFonts w:hint="default" w:ascii="宋体" w:hAnsi="宋体" w:eastAsia="宋体" w:cs="宋体"/>
          <w:b/>
          <w:bCs/>
          <w:kern w:val="0"/>
          <w:sz w:val="36"/>
          <w:szCs w:val="36"/>
          <w:highlight w:val="none"/>
          <w:lang w:val="en-US" w:eastAsia="zh-CN"/>
        </w:rPr>
      </w:pPr>
      <w:r>
        <w:rPr>
          <w:rFonts w:hint="eastAsia" w:ascii="宋体" w:hAnsi="宋体" w:eastAsia="宋体" w:cs="宋体"/>
          <w:b/>
          <w:bCs/>
          <w:kern w:val="0"/>
          <w:sz w:val="36"/>
          <w:szCs w:val="36"/>
          <w:highlight w:val="none"/>
          <w:lang w:val="en-US" w:eastAsia="zh-CN"/>
        </w:rPr>
        <w:t>政府采购合同</w:t>
      </w:r>
    </w:p>
    <w:p w14:paraId="5B1B5D1D">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 xml:space="preserve">甲方（采购人）： </w:t>
      </w:r>
      <w:r>
        <w:rPr>
          <w:rFonts w:hint="eastAsia" w:ascii="宋体" w:hAnsi="宋体" w:eastAsia="宋体" w:cs="宋体"/>
          <w:kern w:val="0"/>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rPr>
        <w:t>西安市环境保护科学研究院</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187D89B3">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乙方（成交供应商）：</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630D1306">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依据《中华人民共和国民法典》和《中华人民共和国政府采购法》，经双方在平等、自愿、互利的基础上，签订本合同，共同信守。</w:t>
      </w:r>
    </w:p>
    <w:p w14:paraId="0FA71869">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一、合同价款及</w:t>
      </w:r>
      <w:r>
        <w:rPr>
          <w:rFonts w:hint="eastAsia" w:ascii="宋体" w:hAnsi="宋体" w:cs="宋体"/>
          <w:kern w:val="0"/>
          <w:sz w:val="24"/>
          <w:szCs w:val="24"/>
          <w:highlight w:val="none"/>
          <w:lang w:val="en-US" w:eastAsia="zh-CN"/>
        </w:rPr>
        <w:t>付款</w:t>
      </w:r>
      <w:r>
        <w:rPr>
          <w:rFonts w:hint="eastAsia" w:ascii="宋体" w:hAnsi="宋体" w:eastAsia="宋体" w:cs="宋体"/>
          <w:kern w:val="0"/>
          <w:sz w:val="24"/>
          <w:szCs w:val="24"/>
          <w:highlight w:val="none"/>
          <w:lang w:val="en-US" w:eastAsia="zh-CN"/>
        </w:rPr>
        <w:t>方式</w:t>
      </w:r>
    </w:p>
    <w:p w14:paraId="1AB9D78E">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1、本合同价款（含税）为（小写）¥</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元；（大写）</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元。</w:t>
      </w:r>
    </w:p>
    <w:p w14:paraId="5EF9C209">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2、在服务期限内，合同</w:t>
      </w:r>
      <w:bookmarkStart w:id="0" w:name="_GoBack"/>
      <w:bookmarkEnd w:id="0"/>
      <w:r>
        <w:rPr>
          <w:rFonts w:hint="eastAsia" w:ascii="宋体" w:hAnsi="宋体" w:eastAsia="宋体" w:cs="宋体"/>
          <w:kern w:val="0"/>
          <w:sz w:val="24"/>
          <w:szCs w:val="24"/>
          <w:highlight w:val="none"/>
          <w:lang w:val="en-US" w:eastAsia="zh-CN"/>
        </w:rPr>
        <w:t>价一次包死，不受国家政策性调价或原材料变化的影响，并作为最终结算的唯一依据。</w:t>
      </w:r>
    </w:p>
    <w:p w14:paraId="60210A01">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3、付款方式：</w:t>
      </w:r>
      <w:r>
        <w:rPr>
          <w:rFonts w:hint="eastAsia" w:ascii="宋体" w:hAnsi="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lang w:val="en-US" w:eastAsia="zh-CN"/>
        </w:rPr>
        <w:t>合同签订后，达到付款条件起30日内，支付合同总金额的</w:t>
      </w:r>
      <w:r>
        <w:rPr>
          <w:rFonts w:hint="eastAsia" w:ascii="宋体" w:hAnsi="宋体" w:cs="宋体"/>
          <w:kern w:val="0"/>
          <w:sz w:val="24"/>
          <w:szCs w:val="24"/>
          <w:highlight w:val="none"/>
          <w:u w:val="single"/>
          <w:lang w:val="en-US" w:eastAsia="zh-CN"/>
        </w:rPr>
        <w:t>60</w:t>
      </w:r>
      <w:r>
        <w:rPr>
          <w:rFonts w:hint="eastAsia" w:ascii="宋体" w:hAnsi="宋体" w:eastAsia="宋体" w:cs="宋体"/>
          <w:kern w:val="0"/>
          <w:sz w:val="24"/>
          <w:szCs w:val="24"/>
          <w:highlight w:val="none"/>
          <w:u w:val="single"/>
          <w:lang w:val="en-US" w:eastAsia="zh-CN"/>
        </w:rPr>
        <w:t>.00%。</w:t>
      </w:r>
      <w:r>
        <w:rPr>
          <w:rFonts w:hint="eastAsia" w:ascii="宋体" w:hAnsi="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val="en-US" w:eastAsia="zh-CN"/>
        </w:rPr>
        <w:t>服务完成，成果文件验收合格后，乙方向甲方提供服务发票，达到付款条件起30日内，支付合同总金额的</w:t>
      </w:r>
      <w:r>
        <w:rPr>
          <w:rFonts w:hint="eastAsia" w:ascii="宋体" w:hAnsi="宋体" w:cs="宋体"/>
          <w:kern w:val="0"/>
          <w:sz w:val="24"/>
          <w:szCs w:val="24"/>
          <w:highlight w:val="none"/>
          <w:u w:val="single"/>
          <w:lang w:val="en-US" w:eastAsia="zh-CN"/>
        </w:rPr>
        <w:t>40</w:t>
      </w:r>
      <w:r>
        <w:rPr>
          <w:rFonts w:hint="eastAsia" w:ascii="宋体" w:hAnsi="宋体" w:eastAsia="宋体" w:cs="宋体"/>
          <w:kern w:val="0"/>
          <w:sz w:val="24"/>
          <w:szCs w:val="24"/>
          <w:highlight w:val="none"/>
          <w:u w:val="single"/>
          <w:lang w:val="en-US" w:eastAsia="zh-CN"/>
        </w:rPr>
        <w:t>.00%。</w:t>
      </w:r>
    </w:p>
    <w:p w14:paraId="5053F09E">
      <w:pPr>
        <w:pStyle w:val="6"/>
        <w:keepNext w:val="0"/>
        <w:keepLines w:val="0"/>
        <w:widowControl/>
        <w:suppressLineNumbers w:val="0"/>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二、服务内容：</w:t>
      </w:r>
    </w:p>
    <w:p w14:paraId="63AD6C5E">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u w:val="single"/>
          <w:lang w:val="en-US" w:eastAsia="zh-CN"/>
        </w:rPr>
        <w:t>1.根据《关于做好生态保护红线生态破坏问题监督和保护成效评估工作的通知》（环办生态函〔2023〕218号）《关于统筹推进自然保护地和生态保护红线生态环境监管工作的通知》（环办生态函〔2024〕311 号）《关于印发陕西省2026年生态保护红线保护成效自评估工作方案的通知》(陕环生态〔2026〕27 号)等文件要求，完成2026年度西安市生态保护红线保护成效自评估工作。</w:t>
      </w:r>
    </w:p>
    <w:p w14:paraId="21FD0E90">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default"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u w:val="single"/>
          <w:lang w:val="en-US" w:eastAsia="zh-CN"/>
        </w:rPr>
        <w:t>2.</w:t>
      </w:r>
      <w:r>
        <w:rPr>
          <w:rFonts w:hint="default" w:ascii="宋体" w:hAnsi="宋体" w:eastAsia="宋体" w:cs="宋体"/>
          <w:kern w:val="0"/>
          <w:sz w:val="24"/>
          <w:szCs w:val="24"/>
          <w:highlight w:val="none"/>
          <w:u w:val="single"/>
          <w:lang w:val="en-US" w:eastAsia="zh-CN"/>
        </w:rPr>
        <w:t>项目绩效目标：</w:t>
      </w:r>
    </w:p>
    <w:p w14:paraId="2C6576B5">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default"/>
          <w:lang w:val="en-US" w:eastAsia="zh-CN"/>
        </w:rPr>
      </w:pPr>
      <w:r>
        <w:rPr>
          <w:rFonts w:hint="default" w:ascii="宋体" w:hAnsi="宋体" w:eastAsia="宋体" w:cs="宋体"/>
          <w:kern w:val="0"/>
          <w:sz w:val="24"/>
          <w:szCs w:val="24"/>
          <w:highlight w:val="none"/>
          <w:u w:val="single"/>
          <w:lang w:val="en-US" w:eastAsia="zh-CN"/>
        </w:rPr>
        <w:t>围绕“面积不减少、性质不改变、功能不降低”的生态保护红线核心管控目标，以西安市生态保护红线含代管西咸西新区生态保护红线范围内的区域为评估对象，评估生态保护红线划定前后的保护面积、用地性质、生态功能和管理能力变化，获取评估期与基期比值的各评估指标值，阐明生态保护红线的整体保护成效，形成202</w:t>
      </w:r>
      <w:r>
        <w:rPr>
          <w:rFonts w:hint="eastAsia" w:ascii="宋体" w:hAnsi="宋体" w:eastAsia="宋体" w:cs="宋体"/>
          <w:kern w:val="0"/>
          <w:sz w:val="24"/>
          <w:szCs w:val="24"/>
          <w:highlight w:val="none"/>
          <w:u w:val="single"/>
          <w:lang w:val="en-US" w:eastAsia="zh-CN"/>
        </w:rPr>
        <w:t>6</w:t>
      </w:r>
      <w:r>
        <w:rPr>
          <w:rFonts w:hint="default" w:ascii="宋体" w:hAnsi="宋体" w:eastAsia="宋体" w:cs="宋体"/>
          <w:kern w:val="0"/>
          <w:sz w:val="24"/>
          <w:szCs w:val="24"/>
          <w:highlight w:val="none"/>
          <w:u w:val="single"/>
          <w:lang w:val="en-US" w:eastAsia="zh-CN"/>
        </w:rPr>
        <w:t>年西安市生态保护红线保护成效评估报告。</w:t>
      </w:r>
    </w:p>
    <w:p w14:paraId="5EE780CB">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cs="宋体"/>
          <w:sz w:val="24"/>
          <w:szCs w:val="24"/>
          <w:highlight w:val="none"/>
          <w:u w:val="single"/>
          <w:lang w:val="en-US" w:eastAsia="zh-CN"/>
        </w:rPr>
      </w:pPr>
      <w:r>
        <w:rPr>
          <w:rFonts w:hint="eastAsia" w:ascii="宋体" w:hAnsi="宋体" w:eastAsia="宋体" w:cs="宋体"/>
          <w:kern w:val="0"/>
          <w:sz w:val="24"/>
          <w:szCs w:val="24"/>
          <w:highlight w:val="none"/>
          <w:lang w:val="en-US" w:eastAsia="zh-CN"/>
        </w:rPr>
        <w:t>三、</w:t>
      </w:r>
      <w:r>
        <w:rPr>
          <w:rFonts w:hint="eastAsia"/>
          <w:sz w:val="24"/>
          <w:szCs w:val="24"/>
          <w:highlight w:val="none"/>
          <w:lang w:val="en-US" w:eastAsia="zh-CN"/>
        </w:rPr>
        <w:t>服务期：</w:t>
      </w:r>
      <w:r>
        <w:rPr>
          <w:rFonts w:hint="eastAsia" w:ascii="宋体" w:hAnsi="宋体" w:cs="宋体"/>
          <w:b w:val="0"/>
          <w:bCs w:val="0"/>
          <w:kern w:val="2"/>
          <w:sz w:val="24"/>
          <w:szCs w:val="24"/>
          <w:highlight w:val="none"/>
          <w:u w:val="single"/>
          <w:lang w:val="en-US" w:eastAsia="zh-CN" w:bidi="ar-SA"/>
        </w:rPr>
        <w:t>自合同签订之日起至2026年 11月 30日止</w:t>
      </w:r>
      <w:r>
        <w:rPr>
          <w:rFonts w:hint="eastAsia" w:ascii="宋体" w:hAnsi="宋体" w:eastAsia="宋体" w:cs="宋体"/>
          <w:b w:val="0"/>
          <w:bCs w:val="0"/>
          <w:kern w:val="2"/>
          <w:sz w:val="24"/>
          <w:szCs w:val="24"/>
          <w:highlight w:val="none"/>
          <w:u w:val="single"/>
          <w:lang w:val="en-US" w:eastAsia="zh-CN" w:bidi="ar-SA"/>
        </w:rPr>
        <w:t>。</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none"/>
          <w:lang w:val="en-US" w:eastAsia="zh-CN"/>
        </w:rPr>
        <w:t xml:space="preserve"> </w:t>
      </w:r>
    </w:p>
    <w:p w14:paraId="07E961F2">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四、服务地点：</w:t>
      </w:r>
      <w:r>
        <w:rPr>
          <w:rFonts w:hint="eastAsia" w:ascii="宋体" w:hAnsi="宋体" w:cs="宋体"/>
          <w:b w:val="0"/>
          <w:bCs w:val="0"/>
          <w:kern w:val="2"/>
          <w:sz w:val="24"/>
          <w:szCs w:val="24"/>
          <w:highlight w:val="none"/>
          <w:u w:val="single"/>
          <w:lang w:val="en-US" w:eastAsia="zh-CN" w:bidi="ar-SA"/>
        </w:rPr>
        <w:t>采购人指定地点。</w:t>
      </w:r>
    </w:p>
    <w:p w14:paraId="0F48D77B">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五、 双方的权利和义务</w:t>
      </w:r>
    </w:p>
    <w:p w14:paraId="79FDD670">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（一）甲方的权利与义务</w:t>
      </w:r>
    </w:p>
    <w:p w14:paraId="1570BE7A">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1、甲方负责配合本次项目服务工作；</w:t>
      </w:r>
    </w:p>
    <w:p w14:paraId="11B4C05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2、甲方应按本合同的约定向乙方支付合同价款；</w:t>
      </w:r>
    </w:p>
    <w:p w14:paraId="57D42475">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3、甲方有权对乙方的工作进行监督和考核。</w:t>
      </w:r>
    </w:p>
    <w:p w14:paraId="722D9253">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（二）乙方的权利与义务</w:t>
      </w:r>
    </w:p>
    <w:p w14:paraId="2786089A">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1、乙方的工作人员必须严格遵守甲方的规章制度，以良好的形象和积极的工作态度，按甲方要求开展工作；</w:t>
      </w:r>
    </w:p>
    <w:p w14:paraId="35BCCF83">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2、乙方保证安排的相关人员需按照指定时间到达指定地点进行服务，乙方在服务时间内不得迟到早退，如有特殊情况，必须事先通知并征得甲方同意；</w:t>
      </w:r>
    </w:p>
    <w:p w14:paraId="36E54801">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3、乙方应严格按照国家规范开展合同规定项目的工作，为甲方提供详实、准确地数据，并把数据以书面形式提供给甲方。</w:t>
      </w:r>
    </w:p>
    <w:p w14:paraId="1F1D54D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4、乙方应严格执行法律法规，严格遵守工作程序，正确执行标准技术规范，确保结果的公正、科学、准确。</w:t>
      </w:r>
    </w:p>
    <w:p w14:paraId="198D47B4">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5、乙方应对甲方的技术、资料和数据严格保密，维护甲方利益。</w:t>
      </w:r>
    </w:p>
    <w:p w14:paraId="47F62992">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6、乙方要做好安全工作，项目相关人员的安全责任由乙方负责。</w:t>
      </w:r>
    </w:p>
    <w:p w14:paraId="752A886D">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六、</w:t>
      </w:r>
      <w:r>
        <w:rPr>
          <w:rFonts w:hint="eastAsia" w:ascii="宋体" w:hAnsi="宋体" w:eastAsia="宋体" w:cs="宋体"/>
          <w:kern w:val="0"/>
          <w:sz w:val="24"/>
          <w:szCs w:val="24"/>
          <w:highlight w:val="none"/>
          <w:lang w:val="en-US" w:eastAsia="zh-CN"/>
        </w:rPr>
        <w:t>违约责任</w:t>
      </w:r>
    </w:p>
    <w:p w14:paraId="2241FF5B">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1、按《中华人民共和国民法典》中的相关条款执行。</w:t>
      </w:r>
    </w:p>
    <w:p w14:paraId="39D096AE">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2、任何一方未履行本合同项下的任何一项条款均被视为违约。违约方应承担因自己的违约行为而给守约方造成的经济损失。</w:t>
      </w:r>
    </w:p>
    <w:p w14:paraId="760F8BD7">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3、因甲方的原因造成影响工作进度和质量，所付的报酬不得追回。给乙方造成的损失，应当负赔偿损失的责任。</w:t>
      </w:r>
    </w:p>
    <w:p w14:paraId="4CC1FEBD">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4、未按合同要求提供服务或服务质量不能满足本次采购要求，采购人会同监督机构、采购代理机构有权终止合同和对成交供应商违约行为进行追究，同时按政府采购法的有关规定进行相应的处罚。</w:t>
      </w:r>
    </w:p>
    <w:p w14:paraId="6FEC45A6">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七</w:t>
      </w:r>
      <w:r>
        <w:rPr>
          <w:rFonts w:hint="eastAsia" w:ascii="宋体" w:hAnsi="宋体" w:eastAsia="宋体" w:cs="宋体"/>
          <w:kern w:val="0"/>
          <w:sz w:val="24"/>
          <w:szCs w:val="24"/>
          <w:highlight w:val="none"/>
          <w:lang w:val="en-US" w:eastAsia="zh-CN"/>
        </w:rPr>
        <w:t>、争议解决方式</w:t>
      </w:r>
    </w:p>
    <w:p w14:paraId="3CC68296">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合同执行中发生争议的，当事人双方应协商解决，协商达不成一致时，可向采购人所在地人民法院提请诉讼。</w:t>
      </w:r>
    </w:p>
    <w:p w14:paraId="667E3919">
      <w:pPr>
        <w:keepNext w:val="0"/>
        <w:keepLines w:val="0"/>
        <w:pageBreakBefore w:val="0"/>
        <w:widowControl w:val="0"/>
        <w:kinsoku/>
        <w:wordWrap/>
        <w:overflowPunct/>
        <w:topLinePunct w:val="0"/>
        <w:autoSpaceDE/>
        <w:autoSpaceDN/>
        <w:bidi w:val="0"/>
        <w:adjustRightInd/>
        <w:snapToGrid/>
        <w:spacing w:before="0" w:after="0" w:line="440" w:lineRule="exact"/>
        <w:jc w:val="both"/>
        <w:textAlignment w:val="auto"/>
        <w:rPr>
          <w:rFonts w:hint="eastAsia"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九</w:t>
      </w:r>
      <w:r>
        <w:rPr>
          <w:rFonts w:hint="eastAsia" w:ascii="宋体" w:hAnsi="宋体" w:eastAsia="宋体" w:cs="宋体"/>
          <w:kern w:val="0"/>
          <w:sz w:val="24"/>
          <w:szCs w:val="24"/>
          <w:highlight w:val="none"/>
          <w:lang w:val="en-US" w:eastAsia="zh-CN"/>
        </w:rPr>
        <w:t>、合同生效</w:t>
      </w:r>
    </w:p>
    <w:p w14:paraId="6189E638">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（一）本合同须经甲、乙双方的法定代表人（授权代表）在合同书上签字并加盖本单位公章后正式生效。</w:t>
      </w:r>
    </w:p>
    <w:p w14:paraId="065C0F8C">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（二）合同生效后，甲、乙双方须严格执行本合同条款的规定，全面履行合同，违者按《中华人民共和国民法典》的有关规定承担相应责任。</w:t>
      </w:r>
    </w:p>
    <w:p w14:paraId="1F0FBE95">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（三）本合同一式</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份，甲乙双方各执</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份。</w:t>
      </w:r>
    </w:p>
    <w:p w14:paraId="3279A1D8">
      <w:pPr>
        <w:keepNext w:val="0"/>
        <w:keepLines w:val="0"/>
        <w:pageBreakBefore w:val="0"/>
        <w:widowControl w:val="0"/>
        <w:kinsoku/>
        <w:wordWrap/>
        <w:overflowPunct/>
        <w:topLinePunct w:val="0"/>
        <w:autoSpaceDE/>
        <w:autoSpaceDN/>
        <w:bidi w:val="0"/>
        <w:adjustRightInd/>
        <w:snapToGrid/>
        <w:spacing w:before="0" w:after="0" w:line="440" w:lineRule="exact"/>
        <w:ind w:firstLine="480" w:firstLineChars="200"/>
        <w:jc w:val="both"/>
        <w:textAlignment w:val="auto"/>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（四）本合同如有未尽事宜，甲、乙双方协商解决。</w:t>
      </w:r>
    </w:p>
    <w:p w14:paraId="799A7127">
      <w:pPr>
        <w:spacing w:before="0" w:after="0" w:line="500" w:lineRule="exact"/>
        <w:jc w:val="both"/>
        <w:rPr>
          <w:rFonts w:hint="eastAsia" w:ascii="宋体" w:hAnsi="宋体" w:eastAsia="宋体" w:cs="宋体"/>
          <w:kern w:val="0"/>
          <w:sz w:val="24"/>
          <w:szCs w:val="24"/>
          <w:highlight w:val="none"/>
          <w:lang w:val="en-US" w:eastAsia="zh-CN"/>
        </w:rPr>
      </w:pPr>
    </w:p>
    <w:p w14:paraId="44A734C9">
      <w:pPr>
        <w:spacing w:before="0" w:after="0" w:line="500" w:lineRule="exact"/>
        <w:jc w:val="both"/>
        <w:rPr>
          <w:rFonts w:hint="eastAsia" w:ascii="宋体" w:hAnsi="宋体" w:eastAsia="宋体" w:cs="宋体"/>
          <w:kern w:val="0"/>
          <w:sz w:val="24"/>
          <w:szCs w:val="24"/>
          <w:highlight w:val="none"/>
          <w:lang w:val="en-US" w:eastAsia="zh-CN"/>
        </w:rPr>
      </w:pPr>
    </w:p>
    <w:p w14:paraId="37C28A05">
      <w:pPr>
        <w:spacing w:before="0" w:after="0" w:line="500" w:lineRule="exact"/>
        <w:ind w:firstLine="480" w:firstLineChars="200"/>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 xml:space="preserve">甲方：   （盖章）   </w:t>
      </w:r>
      <w:r>
        <w:rPr>
          <w:rFonts w:hint="eastAsia" w:ascii="宋体" w:hAnsi="宋体" w:eastAsia="宋体" w:cs="宋体"/>
          <w:kern w:val="0"/>
          <w:sz w:val="24"/>
          <w:szCs w:val="24"/>
          <w:highlight w:val="none"/>
          <w:lang w:val="en-US" w:eastAsia="zh-CN"/>
        </w:rPr>
        <w:tab/>
      </w:r>
      <w:r>
        <w:rPr>
          <w:rFonts w:hint="eastAsia" w:ascii="宋体" w:hAnsi="宋体" w:eastAsia="宋体" w:cs="宋体"/>
          <w:kern w:val="0"/>
          <w:sz w:val="24"/>
          <w:szCs w:val="24"/>
          <w:highlight w:val="none"/>
          <w:lang w:val="en-US" w:eastAsia="zh-CN"/>
        </w:rPr>
        <w:tab/>
      </w:r>
      <w:r>
        <w:rPr>
          <w:rFonts w:hint="eastAsia" w:ascii="宋体" w:hAnsi="宋体" w:eastAsia="宋体" w:cs="宋体"/>
          <w:kern w:val="0"/>
          <w:sz w:val="24"/>
          <w:szCs w:val="24"/>
          <w:highlight w:val="none"/>
          <w:lang w:val="en-US" w:eastAsia="zh-CN"/>
        </w:rPr>
        <w:tab/>
      </w:r>
      <w:r>
        <w:rPr>
          <w:rFonts w:hint="eastAsia" w:ascii="宋体" w:hAnsi="宋体" w:eastAsia="宋体" w:cs="宋体"/>
          <w:kern w:val="0"/>
          <w:sz w:val="24"/>
          <w:szCs w:val="24"/>
          <w:highlight w:val="none"/>
          <w:lang w:val="en-US" w:eastAsia="zh-CN"/>
        </w:rPr>
        <w:t xml:space="preserve">         乙方：   （盖章）</w:t>
      </w:r>
    </w:p>
    <w:p w14:paraId="139D5F9C">
      <w:pPr>
        <w:spacing w:before="0" w:after="0" w:line="500" w:lineRule="exact"/>
        <w:ind w:firstLine="480" w:firstLineChars="200"/>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法定代表人/委托代理人：             法定代表人/委托代理人：</w:t>
      </w:r>
    </w:p>
    <w:p w14:paraId="4747100A">
      <w:pPr>
        <w:spacing w:before="0" w:after="0" w:line="500" w:lineRule="exact"/>
        <w:ind w:firstLine="480" w:firstLineChars="200"/>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地    址：                          地    址：</w:t>
      </w:r>
    </w:p>
    <w:p w14:paraId="2606C5D0">
      <w:pPr>
        <w:spacing w:before="0" w:after="0" w:line="500" w:lineRule="exact"/>
        <w:ind w:firstLine="480" w:firstLineChars="200"/>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电    话：                          电    话：</w:t>
      </w:r>
    </w:p>
    <w:p w14:paraId="71F571AA">
      <w:pPr>
        <w:spacing w:before="0" w:after="0" w:line="500" w:lineRule="exact"/>
        <w:ind w:firstLine="4800" w:firstLineChars="2000"/>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开户银行：</w:t>
      </w:r>
    </w:p>
    <w:p w14:paraId="4A72019D">
      <w:pPr>
        <w:spacing w:before="0" w:after="0" w:line="500" w:lineRule="exact"/>
        <w:ind w:firstLine="480" w:firstLineChars="200"/>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 xml:space="preserve">                                    账    号：</w:t>
      </w:r>
    </w:p>
    <w:p w14:paraId="36561F7E">
      <w:r>
        <w:rPr>
          <w:rFonts w:hint="eastAsia" w:ascii="宋体" w:hAnsi="宋体" w:eastAsia="宋体" w:cs="宋体"/>
          <w:kern w:val="0"/>
          <w:sz w:val="24"/>
          <w:szCs w:val="24"/>
          <w:highlight w:val="none"/>
          <w:lang w:val="en-US" w:eastAsia="zh-CN"/>
        </w:rPr>
        <w:t xml:space="preserve">日期：    年    月    日            </w:t>
      </w:r>
      <w:r>
        <w:rPr>
          <w:rFonts w:hint="eastAsia" w:ascii="宋体" w:hAnsi="宋体" w:cs="宋体"/>
          <w:kern w:val="0"/>
          <w:sz w:val="24"/>
          <w:szCs w:val="24"/>
          <w:highlight w:val="none"/>
          <w:lang w:val="en-US" w:eastAsia="zh-CN"/>
        </w:rPr>
        <w:t xml:space="preserve">   </w:t>
      </w:r>
      <w:r>
        <w:rPr>
          <w:rFonts w:hint="eastAsia" w:ascii="宋体" w:hAnsi="宋体" w:eastAsia="宋体" w:cs="宋体"/>
          <w:kern w:val="0"/>
          <w:sz w:val="24"/>
          <w:szCs w:val="24"/>
          <w:highlight w:val="none"/>
          <w:lang w:val="en-US" w:eastAsia="zh-CN"/>
        </w:rPr>
        <w:t>日期：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974677"/>
    <w:rsid w:val="40974677"/>
    <w:rsid w:val="639B507A"/>
    <w:rsid w:val="78D50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20" w:after="120" w:line="360" w:lineRule="auto"/>
      <w:ind w:firstLine="0" w:firstLineChars="0"/>
      <w:jc w:val="left"/>
    </w:pPr>
    <w:rPr>
      <w:rFonts w:ascii="Calibri" w:hAnsi="Calibri" w:eastAsia="宋体" w:cs="Times New Roman"/>
      <w:kern w:val="2"/>
      <w:sz w:val="28"/>
      <w:szCs w:val="24"/>
      <w:lang w:val="en-US" w:eastAsia="zh-CN" w:bidi="ar-SA"/>
    </w:rPr>
  </w:style>
  <w:style w:type="paragraph" w:styleId="3">
    <w:name w:val="heading 1"/>
    <w:basedOn w:val="1"/>
    <w:next w:val="1"/>
    <w:qFormat/>
    <w:uiPriority w:val="0"/>
    <w:pPr>
      <w:keepNext/>
      <w:outlineLvl w:val="0"/>
    </w:pPr>
    <w:rPr>
      <w:rFonts w:ascii="仿宋_GB2312" w:hAnsi="宋体" w:eastAsia="仿宋_GB2312"/>
      <w:b/>
      <w:kern w:val="2"/>
      <w:sz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1"/>
    <w:basedOn w:val="1"/>
    <w:next w:val="1"/>
    <w:qFormat/>
    <w:uiPriority w:val="0"/>
    <w:pPr>
      <w:spacing w:beforeLines="50" w:line="360" w:lineRule="auto"/>
      <w:ind w:firstLine="420" w:firstLineChars="200"/>
    </w:pPr>
    <w:rPr>
      <w:rFonts w:ascii="宋体" w:hAnsi="宋体" w:cs="宋体"/>
      <w:sz w:val="24"/>
    </w:rPr>
  </w:style>
  <w:style w:type="paragraph" w:styleId="4">
    <w:name w:val="Body Text"/>
    <w:basedOn w:val="1"/>
    <w:next w:val="1"/>
    <w:qFormat/>
    <w:uiPriority w:val="0"/>
    <w:pPr>
      <w:widowControl/>
      <w:jc w:val="left"/>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2026-04-16T01:58:00Z</dcterms:created>
  <dc:creator>lunatic</dc:creator>
  <cp:lastModifiedBy>lunatic</cp:lastModifiedBy>
  <dcterms:modified xsi:type="dcterms:W3CDTF">2026-04-16T02:00:41Z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5C8E8E9D5506486DAC71A3DD5237E990_11</vt:lpwstr>
  </property>
  <property fmtid="{D5CDD505-2E9C-101B-9397-08002B2CF9AE}" pid="4" name="KSOTemplateDocerSaveRecord">
    <vt:lpwstr>eyJoZGlkIjoiNDM4OTc5Y2QzODg0ODcyMjViODBhMDNiM2Y4NWI5M2IiLCJ1c2VySWQiOiIxMTMxMDc4OTE3In0=</vt:lpwstr>
  </property>
</Properties>
</file>