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D9B3B">
      <w:pPr>
        <w:pStyle w:val="3"/>
        <w:keepLines w:val="0"/>
        <w:pageBreakBefore w:val="0"/>
        <w:widowControl w:val="0"/>
        <w:numPr>
          <w:ilvl w:val="0"/>
          <w:numId w:val="0"/>
        </w:numPr>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Cs/>
          <w:sz w:val="24"/>
          <w:szCs w:val="24"/>
          <w:highlight w:val="none"/>
        </w:rPr>
      </w:pPr>
      <w:bookmarkStart w:id="0" w:name="_Toc31673"/>
      <w:bookmarkStart w:id="1" w:name="_Toc18545"/>
    </w:p>
    <w:p w14:paraId="3ACDA8FF">
      <w:pPr>
        <w:pStyle w:val="3"/>
        <w:keepLines w:val="0"/>
        <w:pageBreakBefore w:val="0"/>
        <w:widowControl w:val="0"/>
        <w:numPr>
          <w:ilvl w:val="0"/>
          <w:numId w:val="0"/>
        </w:numPr>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Cs/>
          <w:sz w:val="24"/>
          <w:szCs w:val="24"/>
          <w:highlight w:val="none"/>
        </w:rPr>
      </w:pPr>
    </w:p>
    <w:p w14:paraId="7D654C4D">
      <w:pPr>
        <w:pStyle w:val="3"/>
        <w:keepLines w:val="0"/>
        <w:pageBreakBefore w:val="0"/>
        <w:widowControl w:val="0"/>
        <w:numPr>
          <w:ilvl w:val="0"/>
          <w:numId w:val="0"/>
        </w:numPr>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合同条款及格式</w:t>
      </w:r>
      <w:bookmarkEnd w:id="0"/>
      <w:bookmarkEnd w:id="1"/>
    </w:p>
    <w:p w14:paraId="305FE4AA">
      <w:pPr>
        <w:keepLines w:val="0"/>
        <w:pageBreakBefore w:val="0"/>
        <w:widowControl w:val="0"/>
        <w:kinsoku/>
        <w:wordWrap/>
        <w:overflowPunct/>
        <w:topLinePunct w:val="0"/>
        <w:autoSpaceDE/>
        <w:autoSpaceDN/>
        <w:bidi w:val="0"/>
        <w:adjustRightInd/>
        <w:spacing w:line="360" w:lineRule="auto"/>
        <w:ind w:firstLine="482" w:firstLineChars="200"/>
        <w:jc w:val="left"/>
        <w:textAlignment w:val="auto"/>
        <w:rPr>
          <w:rFonts w:hint="eastAsia" w:ascii="宋体" w:hAnsi="宋体" w:eastAsia="宋体" w:cs="宋体"/>
          <w:b/>
          <w:sz w:val="24"/>
          <w:szCs w:val="24"/>
          <w:highlight w:val="none"/>
        </w:rPr>
      </w:pPr>
    </w:p>
    <w:p w14:paraId="221E0B4F">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14:paraId="2E393111">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14:paraId="6B6CB16E">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val="en-US" w:eastAsia="zh-CN"/>
        </w:rPr>
      </w:pPr>
    </w:p>
    <w:p w14:paraId="674C2981">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eastAsia="zh-CN"/>
        </w:rPr>
      </w:pPr>
    </w:p>
    <w:p w14:paraId="15C3BD8C">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陕西省西安市中级人民法院</w:t>
      </w:r>
      <w:r>
        <w:rPr>
          <w:rFonts w:hint="eastAsia" w:ascii="宋体" w:hAnsi="宋体" w:eastAsia="宋体" w:cs="宋体"/>
          <w:b/>
          <w:bCs/>
          <w:sz w:val="24"/>
          <w:szCs w:val="24"/>
          <w:highlight w:val="none"/>
          <w:lang w:val="en-US" w:eastAsia="zh-CN"/>
        </w:rPr>
        <w:t>2026年度</w:t>
      </w:r>
      <w:r>
        <w:rPr>
          <w:rFonts w:hint="eastAsia" w:ascii="宋体" w:hAnsi="宋体" w:eastAsia="宋体" w:cs="宋体"/>
          <w:b/>
          <w:bCs/>
          <w:sz w:val="24"/>
          <w:szCs w:val="24"/>
          <w:highlight w:val="none"/>
          <w:lang w:eastAsia="zh-CN"/>
        </w:rPr>
        <w:t>集约送达服务</w:t>
      </w:r>
    </w:p>
    <w:p w14:paraId="318674E6">
      <w:pPr>
        <w:keepLines w:val="0"/>
        <w:pageBreakBefore w:val="0"/>
        <w:widowControl w:val="0"/>
        <w:kinsoku/>
        <w:wordWrap/>
        <w:overflowPunct/>
        <w:topLinePunct w:val="0"/>
        <w:autoSpaceDE/>
        <w:autoSpaceDN/>
        <w:bidi w:val="0"/>
        <w:adjustRightInd/>
        <w:spacing w:line="360" w:lineRule="auto"/>
        <w:ind w:firstLine="482" w:firstLineChars="20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外包项目</w:t>
      </w:r>
    </w:p>
    <w:p w14:paraId="76373208">
      <w:pPr>
        <w:keepLines w:val="0"/>
        <w:pageBreakBefore w:val="0"/>
        <w:widowControl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bCs/>
          <w:sz w:val="24"/>
          <w:szCs w:val="24"/>
          <w:highlight w:val="none"/>
          <w:lang w:val="en-US" w:eastAsia="zh-CN"/>
        </w:rPr>
      </w:pPr>
    </w:p>
    <w:p w14:paraId="372C6067">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3A04AA63">
      <w:pPr>
        <w:pStyle w:val="5"/>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3EA49AD4">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0739DAAE">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5266F9CA">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08451C7B">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03CFD78B">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4BC1B3A8">
      <w:pPr>
        <w:pStyle w:val="5"/>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lang w:val="en-US" w:eastAsia="zh-CN"/>
        </w:rPr>
      </w:pPr>
    </w:p>
    <w:p w14:paraId="29635DDF">
      <w:pPr>
        <w:pStyle w:val="5"/>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7C3E2F32">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rPr>
      </w:pPr>
    </w:p>
    <w:p w14:paraId="3B785342">
      <w:pPr>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b/>
          <w:bCs/>
          <w:sz w:val="24"/>
          <w:szCs w:val="24"/>
          <w:highlight w:val="none"/>
        </w:rPr>
      </w:pPr>
    </w:p>
    <w:p w14:paraId="528648FA">
      <w:pPr>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甲方：</w:t>
      </w:r>
      <w:r>
        <w:rPr>
          <w:rFonts w:hint="eastAsia" w:ascii="宋体" w:hAnsi="宋体" w:eastAsia="宋体" w:cs="宋体"/>
          <w:b/>
          <w:bCs/>
          <w:spacing w:val="85"/>
          <w:sz w:val="24"/>
          <w:szCs w:val="24"/>
          <w:highlight w:val="none"/>
        </w:rPr>
        <w:t>陕西省西安市中级人民法院</w:t>
      </w:r>
    </w:p>
    <w:p w14:paraId="70E146B0">
      <w:pPr>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rPr>
        <w:t>乙方：</w:t>
      </w:r>
      <w:r>
        <w:rPr>
          <w:rFonts w:hint="eastAsia" w:ascii="宋体" w:hAnsi="宋体" w:eastAsia="宋体" w:cs="宋体"/>
          <w:b/>
          <w:bCs/>
          <w:sz w:val="24"/>
          <w:szCs w:val="24"/>
          <w:highlight w:val="none"/>
          <w:lang w:val="en-US" w:eastAsia="zh-CN"/>
        </w:rPr>
        <w:t>中国邮政速递物流股份有限公司西安市分公司</w:t>
      </w:r>
    </w:p>
    <w:p w14:paraId="3B4E57B6">
      <w:pPr>
        <w:pStyle w:val="5"/>
        <w:keepLines w:val="0"/>
        <w:pageBreakBefore w:val="0"/>
        <w:widowControl w:val="0"/>
        <w:kinsoku/>
        <w:wordWrap/>
        <w:overflowPunct/>
        <w:topLinePunct w:val="0"/>
        <w:autoSpaceDE/>
        <w:autoSpaceDN/>
        <w:bidi w:val="0"/>
        <w:adjustRightInd/>
        <w:spacing w:line="360" w:lineRule="auto"/>
        <w:ind w:left="0" w:leftChars="0" w:firstLine="0" w:firstLineChars="0"/>
        <w:jc w:val="center"/>
        <w:textAlignment w:val="auto"/>
        <w:rPr>
          <w:rFonts w:hint="eastAsia" w:ascii="宋体" w:hAnsi="宋体" w:eastAsia="宋体" w:cs="宋体"/>
          <w:b/>
          <w:bCs/>
          <w:i w:val="0"/>
          <w:iCs w:val="0"/>
          <w:kern w:val="2"/>
          <w:sz w:val="24"/>
          <w:szCs w:val="24"/>
          <w:highlight w:val="none"/>
          <w:u w:val="none"/>
          <w:lang w:val="en-US" w:eastAsia="zh-CN" w:bidi="ar-SA"/>
        </w:rPr>
        <w:sectPr>
          <w:pgSz w:w="11906" w:h="16838"/>
          <w:pgMar w:top="1417" w:right="1417" w:bottom="1417" w:left="1417" w:header="851" w:footer="992" w:gutter="0"/>
          <w:cols w:space="720" w:num="1"/>
          <w:docGrid w:type="lines" w:linePitch="312" w:charSpace="0"/>
        </w:sectPr>
      </w:pPr>
      <w:r>
        <w:rPr>
          <w:rFonts w:hint="eastAsia" w:ascii="宋体" w:hAnsi="宋体" w:eastAsia="宋体" w:cs="宋体"/>
          <w:b/>
          <w:bCs/>
          <w:i w:val="0"/>
          <w:iCs w:val="0"/>
          <w:kern w:val="2"/>
          <w:sz w:val="24"/>
          <w:szCs w:val="24"/>
          <w:highlight w:val="none"/>
          <w:u w:val="none"/>
          <w:lang w:val="en-US" w:eastAsia="zh-CN" w:bidi="ar-SA"/>
        </w:rPr>
        <w:t>202</w:t>
      </w:r>
      <w:r>
        <w:rPr>
          <w:rFonts w:hint="eastAsia" w:ascii="宋体" w:hAnsi="宋体" w:cs="宋体"/>
          <w:b/>
          <w:bCs/>
          <w:i w:val="0"/>
          <w:iCs w:val="0"/>
          <w:kern w:val="2"/>
          <w:sz w:val="24"/>
          <w:szCs w:val="24"/>
          <w:highlight w:val="none"/>
          <w:u w:val="none"/>
          <w:lang w:val="en-US" w:eastAsia="zh-CN" w:bidi="ar-SA"/>
        </w:rPr>
        <w:t>6</w:t>
      </w:r>
      <w:r>
        <w:rPr>
          <w:rFonts w:hint="eastAsia" w:ascii="宋体" w:hAnsi="宋体" w:eastAsia="宋体" w:cs="宋体"/>
          <w:b/>
          <w:bCs/>
          <w:i w:val="0"/>
          <w:iCs w:val="0"/>
          <w:kern w:val="2"/>
          <w:sz w:val="24"/>
          <w:szCs w:val="24"/>
          <w:highlight w:val="none"/>
          <w:u w:val="none"/>
          <w:lang w:val="en-US" w:eastAsia="zh-CN" w:bidi="ar-SA"/>
        </w:rPr>
        <w:t>年</w:t>
      </w:r>
      <w:r>
        <w:rPr>
          <w:rFonts w:hint="eastAsia" w:ascii="宋体" w:hAnsi="宋体" w:eastAsia="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月</w:t>
      </w:r>
      <w:r>
        <w:rPr>
          <w:rFonts w:hint="eastAsia" w:ascii="宋体" w:hAnsi="宋体" w:eastAsia="宋体" w:cs="宋体"/>
          <w:b/>
          <w:bCs/>
          <w:i w:val="0"/>
          <w:iCs w:val="0"/>
          <w:kern w:val="2"/>
          <w:sz w:val="24"/>
          <w:szCs w:val="24"/>
          <w:highlight w:val="none"/>
          <w:u w:val="single"/>
          <w:lang w:val="en-US" w:eastAsia="zh-CN" w:bidi="ar-SA"/>
        </w:rPr>
        <w:t xml:space="preserve">   </w:t>
      </w:r>
      <w:r>
        <w:rPr>
          <w:rFonts w:hint="eastAsia" w:ascii="宋体" w:hAnsi="宋体" w:eastAsia="宋体" w:cs="宋体"/>
          <w:b/>
          <w:bCs/>
          <w:i w:val="0"/>
          <w:iCs w:val="0"/>
          <w:kern w:val="2"/>
          <w:sz w:val="24"/>
          <w:szCs w:val="24"/>
          <w:highlight w:val="none"/>
          <w:u w:val="none"/>
          <w:lang w:val="en-US" w:eastAsia="zh-CN" w:bidi="ar-SA"/>
        </w:rPr>
        <w:t>日</w:t>
      </w:r>
    </w:p>
    <w:p w14:paraId="5A902346">
      <w:pPr>
        <w:pageBreakBefore w:val="0"/>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甲方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采购人）</w:t>
      </w:r>
      <w:r>
        <w:rPr>
          <w:rFonts w:hint="eastAsia" w:ascii="宋体" w:hAnsi="宋体" w:eastAsia="宋体" w:cs="宋体"/>
          <w:sz w:val="24"/>
          <w:szCs w:val="24"/>
        </w:rPr>
        <w:t>：</w:t>
      </w:r>
      <w:r>
        <w:rPr>
          <w:rFonts w:hint="eastAsia" w:ascii="宋体" w:hAnsi="宋体" w:eastAsia="宋体" w:cs="宋体"/>
          <w:sz w:val="24"/>
          <w:szCs w:val="24"/>
          <w:u w:val="single"/>
        </w:rPr>
        <w:t>陕西省西安市中级人民法院</w:t>
      </w:r>
      <w:r>
        <w:rPr>
          <w:rFonts w:hint="eastAsia" w:ascii="宋体" w:hAnsi="宋体" w:eastAsia="宋体" w:cs="宋体"/>
          <w:sz w:val="24"/>
          <w:szCs w:val="24"/>
          <w:u w:val="single"/>
          <w:lang w:val="en-US" w:eastAsia="zh-CN"/>
        </w:rPr>
        <w:t xml:space="preserve">                    </w:t>
      </w:r>
    </w:p>
    <w:p w14:paraId="55B47608">
      <w:pPr>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乙方：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成交供应商）</w:t>
      </w:r>
      <w:r>
        <w:rPr>
          <w:rFonts w:hint="eastAsia" w:ascii="宋体" w:hAnsi="宋体" w:eastAsia="宋体" w:cs="宋体"/>
          <w:b w:val="0"/>
          <w:bCs w:val="0"/>
          <w:sz w:val="24"/>
          <w:szCs w:val="24"/>
          <w:u w:val="single"/>
          <w:lang w:val="en-US" w:eastAsia="zh-CN"/>
        </w:rPr>
        <w:t>中国邮政速递物流股份有限公司西安市分公司</w:t>
      </w:r>
    </w:p>
    <w:p w14:paraId="706DDFA7">
      <w:pPr>
        <w:pageBreakBefore w:val="0"/>
        <w:widowControl/>
        <w:kinsoku/>
        <w:wordWrap/>
        <w:overflowPunct/>
        <w:topLinePunct w:val="0"/>
        <w:bidi w:val="0"/>
        <w:adjustRightInd w:val="0"/>
        <w:snapToGrid w:val="0"/>
        <w:spacing w:line="360" w:lineRule="auto"/>
        <w:ind w:right="0" w:rightChars="0" w:firstLine="480" w:firstLineChars="200"/>
        <w:jc w:val="left"/>
        <w:textAlignment w:val="auto"/>
        <w:rPr>
          <w:rFonts w:hint="eastAsia" w:ascii="宋体" w:hAnsi="宋体" w:eastAsia="宋体" w:cs="宋体"/>
          <w:color w:val="auto"/>
          <w:kern w:val="0"/>
          <w:sz w:val="24"/>
          <w:szCs w:val="24"/>
          <w:highlight w:val="none"/>
          <w:u w:val="none" w:color="000000"/>
          <w:shd w:val="clear" w:color="auto" w:fill="auto"/>
        </w:rPr>
      </w:pPr>
      <w:bookmarkStart w:id="2" w:name="_Toc244416560"/>
      <w:r>
        <w:rPr>
          <w:rFonts w:hint="eastAsia" w:ascii="宋体" w:hAnsi="宋体" w:eastAsia="宋体" w:cs="宋体"/>
          <w:sz w:val="24"/>
          <w:szCs w:val="24"/>
          <w:highlight w:val="none"/>
        </w:rPr>
        <w:t>依据《中华人民共和国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》和《中华人民共和国政府采购法》，经双方协商按下述条款和条件签署本合同。</w:t>
      </w:r>
    </w:p>
    <w:p w14:paraId="54DB79A6">
      <w:pPr>
        <w:pStyle w:val="4"/>
        <w:keepNext/>
        <w:keepLines/>
        <w:pageBreakBefore w:val="0"/>
        <w:widowControl w:val="0"/>
        <w:kinsoku/>
        <w:wordWrap/>
        <w:overflowPunct/>
        <w:topLinePunct w:val="0"/>
        <w:autoSpaceDE/>
        <w:autoSpaceDN/>
        <w:bidi w:val="0"/>
        <w:adjustRightInd/>
        <w:snapToGrid/>
        <w:spacing w:before="0" w:beforeLines="0" w:after="0" w:afterLines="0"/>
        <w:ind w:left="283"/>
        <w:jc w:val="both"/>
        <w:textAlignment w:val="auto"/>
        <w:rPr>
          <w:rFonts w:hint="eastAsia" w:ascii="宋体" w:hAnsi="宋体" w:eastAsia="宋体" w:cs="宋体"/>
        </w:rPr>
      </w:pPr>
      <w:bookmarkStart w:id="3" w:name="_Toc22506"/>
      <w:r>
        <w:rPr>
          <w:rFonts w:hint="eastAsia" w:ascii="宋体" w:hAnsi="宋体" w:eastAsia="宋体" w:cs="宋体"/>
        </w:rPr>
        <w:t>第一条、合同标的物内容及数量</w:t>
      </w:r>
      <w:bookmarkEnd w:id="3"/>
    </w:p>
    <w:tbl>
      <w:tblPr>
        <w:tblStyle w:val="11"/>
        <w:tblW w:w="50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196"/>
        <w:gridCol w:w="2517"/>
        <w:gridCol w:w="1499"/>
        <w:gridCol w:w="1447"/>
      </w:tblGrid>
      <w:tr w14:paraId="4DBC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361" w:type="pct"/>
            <w:noWrap w:val="0"/>
            <w:vAlign w:val="center"/>
          </w:tcPr>
          <w:p w14:paraId="54EB262A">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序号</w:t>
            </w:r>
          </w:p>
        </w:tc>
        <w:tc>
          <w:tcPr>
            <w:tcW w:w="1712" w:type="pct"/>
            <w:noWrap w:val="0"/>
            <w:vAlign w:val="center"/>
          </w:tcPr>
          <w:p w14:paraId="5541F1C3">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服务名称</w:t>
            </w:r>
          </w:p>
        </w:tc>
        <w:tc>
          <w:tcPr>
            <w:tcW w:w="1348" w:type="pct"/>
            <w:noWrap w:val="0"/>
            <w:vAlign w:val="center"/>
          </w:tcPr>
          <w:p w14:paraId="3FB5AF47">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服务内容</w:t>
            </w:r>
          </w:p>
        </w:tc>
        <w:tc>
          <w:tcPr>
            <w:tcW w:w="803" w:type="pct"/>
            <w:noWrap w:val="0"/>
            <w:vAlign w:val="center"/>
          </w:tcPr>
          <w:p w14:paraId="6104D73A">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highlight w:val="none"/>
              </w:rPr>
            </w:pPr>
            <w:r>
              <w:rPr>
                <w:rFonts w:hint="eastAsia" w:ascii="宋体" w:hAnsi="宋体" w:eastAsia="宋体" w:cs="宋体"/>
                <w:color w:val="000000"/>
                <w:spacing w:val="-20"/>
                <w:kern w:val="0"/>
                <w:sz w:val="24"/>
                <w:szCs w:val="24"/>
                <w:highlight w:val="none"/>
              </w:rPr>
              <w:t>数量</w:t>
            </w:r>
          </w:p>
        </w:tc>
        <w:tc>
          <w:tcPr>
            <w:tcW w:w="775" w:type="pct"/>
            <w:noWrap w:val="0"/>
            <w:vAlign w:val="center"/>
          </w:tcPr>
          <w:p w14:paraId="3B02853E">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总价</w:t>
            </w:r>
          </w:p>
        </w:tc>
      </w:tr>
      <w:tr w14:paraId="2116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center"/>
          </w:tcPr>
          <w:p w14:paraId="345C6260">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1</w:t>
            </w:r>
          </w:p>
        </w:tc>
        <w:tc>
          <w:tcPr>
            <w:tcW w:w="1712" w:type="pct"/>
            <w:noWrap w:val="0"/>
            <w:vAlign w:val="center"/>
          </w:tcPr>
          <w:p w14:paraId="0A088933">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0"/>
                <w:kern w:val="0"/>
                <w:sz w:val="24"/>
                <w:szCs w:val="24"/>
                <w:lang w:eastAsia="zh-CN"/>
              </w:rPr>
            </w:pPr>
            <w:r>
              <w:rPr>
                <w:rFonts w:hint="eastAsia" w:ascii="宋体" w:hAnsi="宋体" w:eastAsia="宋体" w:cs="宋体"/>
                <w:color w:val="000000"/>
                <w:spacing w:val="0"/>
                <w:kern w:val="0"/>
                <w:sz w:val="24"/>
                <w:szCs w:val="24"/>
                <w:lang w:eastAsia="zh-CN"/>
              </w:rPr>
              <w:t>陕西省西安市中级人民法院</w:t>
            </w:r>
            <w:r>
              <w:rPr>
                <w:rFonts w:hint="eastAsia" w:ascii="宋体" w:hAnsi="宋体" w:eastAsia="宋体" w:cs="宋体"/>
                <w:color w:val="000000"/>
                <w:spacing w:val="0"/>
                <w:kern w:val="0"/>
                <w:sz w:val="24"/>
                <w:szCs w:val="24"/>
                <w:lang w:val="en-US" w:eastAsia="zh-CN"/>
              </w:rPr>
              <w:t>2026年度</w:t>
            </w:r>
            <w:r>
              <w:rPr>
                <w:rFonts w:hint="eastAsia" w:ascii="宋体" w:hAnsi="宋体" w:eastAsia="宋体" w:cs="宋体"/>
                <w:color w:val="000000"/>
                <w:spacing w:val="0"/>
                <w:kern w:val="0"/>
                <w:sz w:val="24"/>
                <w:szCs w:val="24"/>
                <w:lang w:eastAsia="zh-CN"/>
              </w:rPr>
              <w:t>集约送达服务</w:t>
            </w:r>
          </w:p>
          <w:p w14:paraId="6098CF3C">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0"/>
                <w:kern w:val="0"/>
                <w:sz w:val="24"/>
                <w:szCs w:val="24"/>
              </w:rPr>
            </w:pPr>
            <w:r>
              <w:rPr>
                <w:rFonts w:hint="eastAsia" w:ascii="宋体" w:hAnsi="宋体" w:eastAsia="宋体" w:cs="宋体"/>
                <w:color w:val="000000"/>
                <w:spacing w:val="0"/>
                <w:kern w:val="0"/>
                <w:sz w:val="24"/>
                <w:szCs w:val="24"/>
                <w:lang w:eastAsia="zh-CN"/>
              </w:rPr>
              <w:t>外包项目</w:t>
            </w:r>
          </w:p>
        </w:tc>
        <w:tc>
          <w:tcPr>
            <w:tcW w:w="1348" w:type="pct"/>
            <w:noWrap w:val="0"/>
            <w:vAlign w:val="center"/>
          </w:tcPr>
          <w:p w14:paraId="31E31EC1">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0"/>
                <w:kern w:val="0"/>
                <w:sz w:val="24"/>
                <w:szCs w:val="24"/>
                <w:lang w:val="en-US" w:eastAsia="zh-CN"/>
              </w:rPr>
            </w:pPr>
            <w:r>
              <w:rPr>
                <w:rFonts w:hint="eastAsia" w:ascii="宋体" w:hAnsi="宋体" w:eastAsia="宋体" w:cs="宋体"/>
                <w:color w:val="000000"/>
                <w:spacing w:val="0"/>
                <w:kern w:val="0"/>
                <w:sz w:val="24"/>
                <w:szCs w:val="24"/>
                <w:lang w:val="en-US" w:eastAsia="zh-CN"/>
              </w:rPr>
              <w:t>详见采购需求</w:t>
            </w:r>
          </w:p>
        </w:tc>
        <w:tc>
          <w:tcPr>
            <w:tcW w:w="803" w:type="pct"/>
            <w:noWrap w:val="0"/>
            <w:vAlign w:val="center"/>
          </w:tcPr>
          <w:p w14:paraId="1CF28145">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p>
        </w:tc>
        <w:tc>
          <w:tcPr>
            <w:tcW w:w="775" w:type="pct"/>
            <w:noWrap w:val="0"/>
            <w:vAlign w:val="center"/>
          </w:tcPr>
          <w:p w14:paraId="17A143F1">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p>
        </w:tc>
      </w:tr>
      <w:tr w14:paraId="6CDF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 w:type="pct"/>
            <w:noWrap w:val="0"/>
            <w:vAlign w:val="center"/>
          </w:tcPr>
          <w:p w14:paraId="3AAE53FE">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合计</w:t>
            </w:r>
          </w:p>
        </w:tc>
        <w:tc>
          <w:tcPr>
            <w:tcW w:w="4638" w:type="pct"/>
            <w:gridSpan w:val="4"/>
            <w:noWrap w:val="0"/>
            <w:vAlign w:val="center"/>
          </w:tcPr>
          <w:p w14:paraId="19BB8EB8">
            <w:pPr>
              <w:pageBreakBefore w:val="0"/>
              <w:tabs>
                <w:tab w:val="left" w:pos="480"/>
              </w:tabs>
              <w:kinsoku/>
              <w:wordWrap/>
              <w:overflowPunct/>
              <w:topLinePunct w:val="0"/>
              <w:bidi w:val="0"/>
              <w:spacing w:line="360" w:lineRule="auto"/>
              <w:jc w:val="center"/>
              <w:textAlignment w:val="auto"/>
              <w:rPr>
                <w:rFonts w:hint="eastAsia" w:ascii="宋体" w:hAnsi="宋体" w:eastAsia="宋体" w:cs="宋体"/>
                <w:color w:val="000000"/>
                <w:spacing w:val="-20"/>
                <w:kern w:val="0"/>
                <w:sz w:val="24"/>
                <w:szCs w:val="24"/>
              </w:rPr>
            </w:pPr>
          </w:p>
        </w:tc>
      </w:tr>
    </w:tbl>
    <w:p w14:paraId="20694CF7">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4" w:name="_Toc5341"/>
      <w:r>
        <w:rPr>
          <w:rFonts w:hint="eastAsia" w:ascii="宋体" w:hAnsi="宋体" w:eastAsia="宋体" w:cs="宋体"/>
        </w:rPr>
        <w:t>第二条、服务条件</w:t>
      </w:r>
      <w:bookmarkEnd w:id="4"/>
    </w:p>
    <w:p w14:paraId="62C8FE9A">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（一</w:t>
      </w:r>
      <w:r>
        <w:rPr>
          <w:rFonts w:hint="eastAsia" w:ascii="宋体" w:hAnsi="宋体" w:eastAsia="宋体" w:cs="宋体"/>
          <w:sz w:val="24"/>
          <w:szCs w:val="24"/>
          <w:highlight w:val="none"/>
        </w:rPr>
        <w:t>）服务地点：甲方指定地点。</w:t>
      </w:r>
    </w:p>
    <w:p w14:paraId="64713665">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（二）服务期：</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rPr>
        <w:t>。</w:t>
      </w:r>
    </w:p>
    <w:bookmarkEnd w:id="2"/>
    <w:p w14:paraId="796DE998">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highlight w:val="none"/>
        </w:rPr>
      </w:pPr>
      <w:bookmarkStart w:id="5" w:name="_Toc244416561"/>
      <w:bookmarkStart w:id="6" w:name="_Toc28619"/>
      <w:r>
        <w:rPr>
          <w:rFonts w:hint="eastAsia" w:ascii="宋体" w:hAnsi="宋体" w:eastAsia="宋体" w:cs="宋体"/>
          <w:highlight w:val="none"/>
        </w:rPr>
        <w:t>第三条、</w:t>
      </w:r>
      <w:bookmarkEnd w:id="5"/>
      <w:r>
        <w:rPr>
          <w:rFonts w:hint="eastAsia" w:ascii="宋体" w:hAnsi="宋体" w:eastAsia="宋体" w:cs="宋体"/>
          <w:highlight w:val="none"/>
        </w:rPr>
        <w:t>合同价款、付款方式及比例</w:t>
      </w:r>
      <w:bookmarkEnd w:id="6"/>
    </w:p>
    <w:p w14:paraId="4017BFEE">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（一）合同价款</w:t>
      </w:r>
    </w:p>
    <w:p w14:paraId="51210113">
      <w:pPr>
        <w:pageBreakBefore w:val="0"/>
        <w:kinsoku/>
        <w:wordWrap/>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总价</w:t>
      </w:r>
      <w:r>
        <w:rPr>
          <w:rFonts w:hint="eastAsia" w:ascii="宋体" w:hAnsi="宋体" w:eastAsia="宋体" w:cs="宋体"/>
          <w:color w:val="auto"/>
          <w:sz w:val="24"/>
          <w:szCs w:val="24"/>
          <w:highlight w:val="none"/>
        </w:rPr>
        <w:t>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元。合同</w:t>
      </w:r>
      <w:r>
        <w:rPr>
          <w:rFonts w:hint="eastAsia" w:ascii="宋体" w:hAnsi="宋体" w:eastAsia="宋体" w:cs="宋体"/>
          <w:color w:val="auto"/>
          <w:sz w:val="24"/>
          <w:szCs w:val="24"/>
          <w:highlight w:val="none"/>
          <w:lang w:val="en-US" w:eastAsia="zh-CN"/>
        </w:rPr>
        <w:t>总价</w:t>
      </w:r>
      <w:r>
        <w:rPr>
          <w:rFonts w:hint="eastAsia" w:ascii="宋体" w:hAnsi="宋体" w:eastAsia="宋体" w:cs="宋体"/>
          <w:color w:val="auto"/>
          <w:sz w:val="24"/>
          <w:szCs w:val="24"/>
          <w:highlight w:val="none"/>
        </w:rPr>
        <w:t>一次性包死，不受市场价格变化因素的影响。</w:t>
      </w:r>
    </w:p>
    <w:p w14:paraId="5EEFE1B4">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（二）付款方式</w:t>
      </w:r>
    </w:p>
    <w:p w14:paraId="0689F9BA">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0ECA7347">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highlight w:val="none"/>
        </w:rPr>
      </w:pPr>
      <w:bookmarkStart w:id="7" w:name="_Toc16159"/>
      <w:r>
        <w:rPr>
          <w:rFonts w:hint="eastAsia" w:ascii="宋体" w:hAnsi="宋体" w:eastAsia="宋体" w:cs="宋体"/>
          <w:highlight w:val="none"/>
        </w:rPr>
        <w:t>第四条、验收标准及方法</w:t>
      </w:r>
      <w:bookmarkEnd w:id="7"/>
    </w:p>
    <w:p w14:paraId="0BEB7199">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（一）乙方完成并交付的工作成果需经甲方验收合格，则视为接受。如果在验收时甲方表明不接受乙方提交的工作成果并明示不接受的原因，乙方应当采取合理之措施进行修改，以达到合同规定的要求。</w:t>
      </w:r>
    </w:p>
    <w:p w14:paraId="4B0586DF">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（二）验收依据</w:t>
      </w:r>
    </w:p>
    <w:p w14:paraId="573E8BFF">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1、本合同及附件文本所约定的验收标准； </w:t>
      </w:r>
    </w:p>
    <w:p w14:paraId="2E6DB6A8">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单一来源谈判</w:t>
      </w:r>
      <w:r>
        <w:rPr>
          <w:rFonts w:hint="eastAsia" w:ascii="宋体" w:hAnsi="宋体" w:eastAsia="宋体" w:cs="宋体"/>
          <w:sz w:val="24"/>
          <w:szCs w:val="24"/>
        </w:rPr>
        <w:t>文件、</w:t>
      </w:r>
      <w:r>
        <w:rPr>
          <w:rFonts w:hint="eastAsia" w:ascii="宋体" w:hAnsi="宋体" w:eastAsia="宋体" w:cs="宋体"/>
          <w:sz w:val="24"/>
          <w:szCs w:val="24"/>
          <w:lang w:val="en-US" w:eastAsia="zh-CN"/>
        </w:rPr>
        <w:t>单一来源谈判</w:t>
      </w:r>
      <w:r>
        <w:rPr>
          <w:rFonts w:hint="eastAsia" w:ascii="宋体" w:hAnsi="宋体" w:eastAsia="宋体" w:cs="宋体"/>
          <w:sz w:val="24"/>
          <w:szCs w:val="24"/>
        </w:rPr>
        <w:t>响应文件、澄清表（函）；</w:t>
      </w:r>
    </w:p>
    <w:p w14:paraId="30C2C7B2">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3、国家相应的标准、规范。</w:t>
      </w:r>
    </w:p>
    <w:p w14:paraId="25953958">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8" w:name="_Toc12412"/>
      <w:r>
        <w:rPr>
          <w:rFonts w:hint="eastAsia" w:ascii="宋体" w:hAnsi="宋体" w:eastAsia="宋体" w:cs="宋体"/>
        </w:rPr>
        <w:t>第五条、质量保证</w:t>
      </w:r>
      <w:bookmarkEnd w:id="8"/>
    </w:p>
    <w:p w14:paraId="25ABC779">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u w:val="single"/>
          <w:lang w:val="en-US" w:eastAsia="zh-CN"/>
        </w:rPr>
        <w:t xml:space="preserve">                               </w:t>
      </w:r>
      <w:r>
        <w:rPr>
          <w:rFonts w:hint="eastAsia" w:ascii="宋体" w:hAnsi="宋体" w:eastAsia="宋体" w:cs="宋体"/>
          <w:color w:val="auto"/>
          <w:sz w:val="24"/>
          <w:szCs w:val="24"/>
          <w:highlight w:val="none"/>
        </w:rPr>
        <w:t>。</w:t>
      </w:r>
    </w:p>
    <w:p w14:paraId="595D9D22">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9" w:name="_Toc32579"/>
      <w:r>
        <w:rPr>
          <w:rFonts w:hint="eastAsia" w:ascii="宋体" w:hAnsi="宋体" w:eastAsia="宋体" w:cs="宋体"/>
        </w:rPr>
        <w:t>第六条、双方的权利和义务</w:t>
      </w:r>
      <w:bookmarkEnd w:id="9"/>
    </w:p>
    <w:p w14:paraId="5902BF4C">
      <w:pPr>
        <w:pageBreakBefore w:val="0"/>
        <w:tabs>
          <w:tab w:val="left" w:pos="480"/>
        </w:tabs>
        <w:kinsoku/>
        <w:wordWrap/>
        <w:overflowPunct/>
        <w:topLinePunct w:val="0"/>
        <w:bidi w:val="0"/>
        <w:spacing w:line="360" w:lineRule="auto"/>
        <w:ind w:firstLine="480" w:firstLineChars="200"/>
        <w:textAlignment w:val="auto"/>
        <w:outlineLvl w:val="1"/>
        <w:rPr>
          <w:rFonts w:hint="eastAsia" w:ascii="宋体" w:hAnsi="宋体" w:eastAsia="宋体" w:cs="宋体"/>
          <w:sz w:val="24"/>
          <w:szCs w:val="24"/>
        </w:rPr>
      </w:pPr>
      <w:bookmarkStart w:id="10" w:name="_Toc10120"/>
      <w:r>
        <w:rPr>
          <w:rFonts w:hint="eastAsia" w:ascii="宋体" w:hAnsi="宋体" w:eastAsia="宋体" w:cs="宋体"/>
          <w:sz w:val="24"/>
          <w:szCs w:val="24"/>
        </w:rPr>
        <w:t>（一）甲方的权利和义务</w:t>
      </w:r>
      <w:bookmarkEnd w:id="10"/>
    </w:p>
    <w:p w14:paraId="14C379EB">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1、乙方进行现场维护时，甲方应在维护产品附近为乙方人员提供足够的贮物空间，为乙方维保工作提供便利。</w:t>
      </w:r>
    </w:p>
    <w:p w14:paraId="349365F0">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2、在甲方安全规定允许的前提下，为乙方的人员能够顺利到达维护现场提供方便。</w:t>
      </w:r>
    </w:p>
    <w:p w14:paraId="5F89FC05">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3、甲方按照乙方的指导进行非现场维护操作。</w:t>
      </w:r>
    </w:p>
    <w:p w14:paraId="09614A53">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4、甲方及时将本合同下维保范围内出现的故障情况通知乙方，乙方负责做好故障有关资料的记录工作。</w:t>
      </w:r>
    </w:p>
    <w:p w14:paraId="73A24086">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5、应乙方维保要求，甲方需提供所需维保服务的所有设备的产品型号、序列号、配置、购买时间、安装地点和设备用途等信息。</w:t>
      </w:r>
    </w:p>
    <w:p w14:paraId="031B6DD5">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6、甲方有权对乙方工程师的工作态度、技术水平进行监督和评判并提出相应的要求，乙方也会由独立的服务质量监督人员对甲方予以不定期的回访。</w:t>
      </w:r>
    </w:p>
    <w:p w14:paraId="71599676">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7、甲方有权不定时、不定范围开展书面或口头的运维满意度调查，并有权向乙方反馈调查情况，乙方应听取甲方反馈的意见；形成书面调查表并加盖有部门以上印章的，可以作为扣除款项的依据。</w:t>
      </w:r>
    </w:p>
    <w:p w14:paraId="22505F64">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8、</w:t>
      </w:r>
      <w:r>
        <w:rPr>
          <w:rFonts w:hint="eastAsia" w:ascii="宋体" w:hAnsi="宋体" w:eastAsia="宋体" w:cs="宋体"/>
          <w:sz w:val="24"/>
          <w:szCs w:val="24"/>
        </w:rPr>
        <w:t>在项目实施过程中，如甲方发现某项目组成员不能满足工作要求，甲方有权要求乙方进行人员调整。</w:t>
      </w:r>
    </w:p>
    <w:p w14:paraId="2BBD8F56">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9、在项目实施过程中发生的人身及财产损失由乙方负责，甲方不承担任何责任。</w:t>
      </w:r>
    </w:p>
    <w:p w14:paraId="24D8BDA4">
      <w:pPr>
        <w:pageBreakBefore w:val="0"/>
        <w:tabs>
          <w:tab w:val="left" w:pos="480"/>
        </w:tabs>
        <w:kinsoku/>
        <w:wordWrap/>
        <w:overflowPunct/>
        <w:topLinePunct w:val="0"/>
        <w:bidi w:val="0"/>
        <w:spacing w:line="360" w:lineRule="auto"/>
        <w:ind w:firstLine="480" w:firstLineChars="200"/>
        <w:textAlignment w:val="auto"/>
        <w:outlineLvl w:val="1"/>
        <w:rPr>
          <w:rFonts w:hint="eastAsia" w:ascii="宋体" w:hAnsi="宋体" w:eastAsia="宋体" w:cs="宋体"/>
          <w:sz w:val="24"/>
          <w:szCs w:val="24"/>
        </w:rPr>
      </w:pPr>
      <w:bookmarkStart w:id="11" w:name="_Toc14691"/>
      <w:r>
        <w:rPr>
          <w:rFonts w:hint="eastAsia" w:ascii="宋体" w:hAnsi="宋体" w:eastAsia="宋体" w:cs="宋体"/>
          <w:sz w:val="24"/>
          <w:szCs w:val="24"/>
        </w:rPr>
        <w:t>（二）乙方的权利和义务</w:t>
      </w:r>
      <w:bookmarkEnd w:id="11"/>
    </w:p>
    <w:p w14:paraId="713ECB0F">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1、乙方确保提供维保服务的设备能够稳定安全的运行。保证备件和备机的技术指标先进、质量性能可靠、进货渠道正常，配置合理，全面满足甲方要求。</w:t>
      </w:r>
    </w:p>
    <w:p w14:paraId="3E03896C">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2、乙方为甲方提供定期巡检，做好预防性维护。</w:t>
      </w:r>
    </w:p>
    <w:p w14:paraId="32BC22DC">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3、乙方进入甲方机房，必须持有甲方签发的通行证，并由甲方人员陪同，同时遵守机房的各种规定。</w:t>
      </w:r>
    </w:p>
    <w:p w14:paraId="1CE3E8EC">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在甲方机房操作期间必须由甲方人员进行现场监督，所进行的操作必须经过甲方同意；工作结束后，需经甲乙双方现场人员检查系统，书面确认操作内容和操作达到目的，且系统运行正常后方可离开现场。</w:t>
      </w:r>
    </w:p>
    <w:p w14:paraId="04B1B1F3">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5、乙方保证在甲方现场的工作人员严格按照甲方现场管理要求和工作纪律行事。</w:t>
      </w:r>
    </w:p>
    <w:p w14:paraId="43961DCD">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6、因乙方技术问题或维护问题造成甲方的硬件受到损坏，乙方应负责赔偿甲方因此所遭受的全部损失。</w:t>
      </w:r>
    </w:p>
    <w:p w14:paraId="7E767455">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7、乙方应按甲方要求如期向甲方交付相关文档，如定期的巡检报告服务季度报告、现场服务单等。</w:t>
      </w:r>
    </w:p>
    <w:p w14:paraId="470A7541">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8、乙方在服务过程中发现非本合同服务范围内的软硬件问题导致系统故障，应及时向甲方汇报，在获得甲方的许可和费用确认后另行处理。</w:t>
      </w:r>
    </w:p>
    <w:p w14:paraId="5A27CFE5">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9、对系统的更新升级，以及数据的增加、更改、删除、向外拷贝等操作，乙方在执行前应当获得甲方单独的授权或许可，未经甲方授权或许可的不得执行该操作。</w:t>
      </w:r>
    </w:p>
    <w:p w14:paraId="72CA038C">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10、</w:t>
      </w:r>
      <w:r>
        <w:rPr>
          <w:rFonts w:hint="eastAsia" w:ascii="宋体" w:hAnsi="宋体" w:eastAsia="宋体" w:cs="宋体"/>
          <w:sz w:val="24"/>
          <w:szCs w:val="24"/>
        </w:rPr>
        <w:t>在项目实施过程中，乙方项目组成员（特别是项目经理）未经甲方许可不得随意变动。乙方项目经理离开24小时，需向甲方提出书面申请，经甲方书面同意方可变动。乙方项目组成员如需变动，需向甲方提出书面申请，经甲方书面同意方可变动。</w:t>
      </w:r>
    </w:p>
    <w:p w14:paraId="7C6B73DE">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12" w:name="_Toc19075"/>
      <w:r>
        <w:rPr>
          <w:rFonts w:hint="eastAsia" w:ascii="宋体" w:hAnsi="宋体" w:eastAsia="宋体" w:cs="宋体"/>
        </w:rPr>
        <w:t>第七条、保密责任</w:t>
      </w:r>
      <w:bookmarkEnd w:id="12"/>
    </w:p>
    <w:p w14:paraId="2ACB78B6">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（一）乙方应遵守国家有关保密的法律法规和行业规定，并对甲方提供的资料负有保密义务。未经甲方同意，不得将在甲方处获得的信息资料带离甲方指定的工作场所或泄露给其他单位和个人。</w:t>
      </w:r>
    </w:p>
    <w:p w14:paraId="00D163A5">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（二）甲方保护乙方的知识产权，但依据相关法定职责对外公开的除外。</w:t>
      </w:r>
    </w:p>
    <w:p w14:paraId="4C245B58">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13" w:name="_Toc20219"/>
      <w:r>
        <w:rPr>
          <w:rFonts w:hint="eastAsia" w:ascii="宋体" w:hAnsi="宋体" w:eastAsia="宋体" w:cs="宋体"/>
        </w:rPr>
        <w:t>第八条、违约情形及责任</w:t>
      </w:r>
      <w:bookmarkEnd w:id="13"/>
    </w:p>
    <w:p w14:paraId="1143B3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（一）</w:t>
      </w:r>
      <w:r>
        <w:rPr>
          <w:rFonts w:hint="eastAsia" w:ascii="宋体" w:hAnsi="宋体" w:eastAsia="宋体" w:cs="宋体"/>
          <w:sz w:val="24"/>
          <w:szCs w:val="24"/>
          <w:lang w:val="en-US" w:eastAsia="zh-CN"/>
        </w:rPr>
        <w:t>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0A95FB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5EB76B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 以谎报事实或隐瞒真相的方法来影响对方当事人在合同签订、履行过程中的行为)的，对方当事人可以书面通知违约方解除本合同；</w:t>
      </w:r>
    </w:p>
    <w:p w14:paraId="7EAFF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5A9D5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DA1EC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（六）如果出现政府采购监督管理部门在处理投诉事项期间，书面通知甲方暂停采购活动的情形，或者询问或质疑事项可能影响成交结果的，导致甲方中止履行合同的情形，均不视为甲方违约</w:t>
      </w:r>
      <w:r>
        <w:rPr>
          <w:rFonts w:hint="eastAsia" w:ascii="宋体" w:hAnsi="宋体" w:eastAsia="宋体" w:cs="宋体"/>
          <w:sz w:val="24"/>
          <w:szCs w:val="24"/>
        </w:rPr>
        <w:t>。</w:t>
      </w:r>
    </w:p>
    <w:p w14:paraId="4B147189">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（七）其他违约行为，按照国家有关法规和条例承担法律责任。</w:t>
      </w:r>
    </w:p>
    <w:p w14:paraId="29822732">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14" w:name="_Toc13881"/>
      <w:r>
        <w:rPr>
          <w:rFonts w:hint="eastAsia" w:ascii="宋体" w:hAnsi="宋体" w:eastAsia="宋体" w:cs="宋体"/>
        </w:rPr>
        <w:t>第九条、合同解除</w:t>
      </w:r>
      <w:bookmarkEnd w:id="14"/>
    </w:p>
    <w:p w14:paraId="0D58F235">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（一）如果乙方有下述任何一种违约行为或《合同条款》中规定的其它违约行为，在不妨碍甲方采取其它救济手段的情况下，甲方可以向乙方发出书面违约通知，全部或部分地解除合同。</w:t>
      </w:r>
    </w:p>
    <w:p w14:paraId="3A813B4A">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1、乙方未能按合同规定的期限交付系统和/或提供相关的服务及技术资料；</w:t>
      </w:r>
    </w:p>
    <w:p w14:paraId="41BC6FF0">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2、乙方未能使规划方案达到相应合同附件规定的技术性能和保证指标；</w:t>
      </w:r>
    </w:p>
    <w:p w14:paraId="12150C85">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3、乙方未能履行合同项下任何其它义务，并且在收到甲方违约通知后未能按通知所规定的期限对其违约行为作出补救；</w:t>
      </w:r>
    </w:p>
    <w:p w14:paraId="41B8B6EC">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4、乙方在项目实施过程中未经甲方书面同意将项目的全部或部分转让、转包或分包给第三方公司或个人。</w:t>
      </w:r>
    </w:p>
    <w:p w14:paraId="7EF5139C">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（二）如果一方破产或发生资不抵债的情况,合同另一方有权在任何时候发出书面通知解除合同。此种情况下合同的解除不妨碍或影响行使任何可能的其它救济手段。</w:t>
      </w:r>
    </w:p>
    <w:p w14:paraId="4A7C8CC0">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（三）如果甲方认定乙方在竞标或执行合同中有腐败或欺诈行为, 甲方有权在任何时候发出书面通知解除合同。 </w:t>
      </w:r>
    </w:p>
    <w:p w14:paraId="3B3B7794">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1、“腐败行为”系指在招标、采购和合同执行等过程中，为谋求利益、影响相关人员而提供、给予、接受或索取任何有价物的行为。</w:t>
      </w:r>
    </w:p>
    <w:p w14:paraId="4E8DDEA3">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欺诈行为”系指为了影响招标、采购和合同执行等过程而隐瞒事实，从而给甲方造成损害的行为，其中包括供应商之间的串通行为，其旨在使投标价成为人为的、无竞争的价格，并使甲方无法从自由公开的竞争中受益。</w:t>
      </w:r>
    </w:p>
    <w:p w14:paraId="3F55CED7">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（四）如果甲方行使解除合同的权利，甲方有权停付合同款，并有权将在执行合同中预付给乙方的款项索回，并有权要求乙方赔偿由此产生的直接经济损失。</w:t>
      </w:r>
    </w:p>
    <w:p w14:paraId="46418E4E">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若（二）和（三）考虑的情况确实发生，甲方有权从乙方手中将与“项目”有关的工作接管并收归己有，乙方应给甲方提供全权处理并提供一切合理的方便，甲方对这种终止合同直接或间接引起的对乙方的任何索赔不承担责任。</w:t>
      </w:r>
    </w:p>
    <w:p w14:paraId="50110F27">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15" w:name="_Toc3586"/>
      <w:r>
        <w:rPr>
          <w:rFonts w:hint="eastAsia" w:ascii="宋体" w:hAnsi="宋体" w:eastAsia="宋体" w:cs="宋体"/>
        </w:rPr>
        <w:t>第十条、争议解决方式</w:t>
      </w:r>
      <w:bookmarkEnd w:id="15"/>
    </w:p>
    <w:p w14:paraId="45475519">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因履行本合同发生的争议，由甲方和乙方协商解决，协商不成的，任何一方均可向甲方住所地人民法院提起诉讼，通过诉讼途径解决。</w:t>
      </w:r>
    </w:p>
    <w:p w14:paraId="7636DD26">
      <w:pPr>
        <w:pStyle w:val="4"/>
        <w:keepNext/>
        <w:keepLines/>
        <w:pageBreakBefore w:val="0"/>
        <w:widowControl w:val="0"/>
        <w:kinsoku/>
        <w:wordWrap/>
        <w:overflowPunct/>
        <w:topLinePunct w:val="0"/>
        <w:autoSpaceDE/>
        <w:autoSpaceDN/>
        <w:bidi w:val="0"/>
        <w:adjustRightInd/>
        <w:snapToGrid/>
        <w:spacing w:before="0" w:beforeLines="0" w:after="0" w:afterLines="0"/>
        <w:ind w:left="0" w:leftChars="0" w:firstLine="0" w:firstLineChars="0"/>
        <w:jc w:val="both"/>
        <w:textAlignment w:val="auto"/>
        <w:rPr>
          <w:rFonts w:hint="eastAsia" w:ascii="宋体" w:hAnsi="宋体" w:eastAsia="宋体" w:cs="宋体"/>
        </w:rPr>
      </w:pPr>
      <w:bookmarkStart w:id="16" w:name="_Toc23501"/>
      <w:r>
        <w:rPr>
          <w:rFonts w:hint="eastAsia" w:ascii="宋体" w:hAnsi="宋体" w:eastAsia="宋体" w:cs="宋体"/>
        </w:rPr>
        <w:t>第十一条、合同组成及生效</w:t>
      </w:r>
      <w:bookmarkEnd w:id="16"/>
    </w:p>
    <w:p w14:paraId="360C8FE6">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（一）合同组成</w:t>
      </w:r>
    </w:p>
    <w:p w14:paraId="05ACACA4">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1、甲方与乙方签署的合同中的所有条款；</w:t>
      </w:r>
    </w:p>
    <w:p w14:paraId="1F489B29">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2、成交通知书；</w:t>
      </w:r>
    </w:p>
    <w:p w14:paraId="143E086C">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单一来源谈判</w:t>
      </w:r>
      <w:r>
        <w:rPr>
          <w:rFonts w:hint="eastAsia" w:ascii="宋体" w:hAnsi="宋体" w:eastAsia="宋体" w:cs="宋体"/>
          <w:sz w:val="24"/>
          <w:szCs w:val="24"/>
        </w:rPr>
        <w:t>文件及澄清（如有）</w:t>
      </w:r>
    </w:p>
    <w:p w14:paraId="0C3EBB4C">
      <w:pPr>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单一来源谈判</w:t>
      </w:r>
      <w:r>
        <w:rPr>
          <w:rFonts w:hint="eastAsia" w:ascii="宋体" w:hAnsi="宋体" w:eastAsia="宋体" w:cs="宋体"/>
          <w:sz w:val="24"/>
          <w:szCs w:val="24"/>
        </w:rPr>
        <w:t>响应文件及澄清（如有）</w:t>
      </w:r>
    </w:p>
    <w:p w14:paraId="1993DF90">
      <w:pPr>
        <w:pageBreakBefore w:val="0"/>
        <w:tabs>
          <w:tab w:val="left" w:pos="480"/>
        </w:tabs>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（二）本合同一式</w:t>
      </w:r>
      <w:r>
        <w:rPr>
          <w:rFonts w:hint="eastAsia" w:ascii="宋体" w:hAnsi="宋体" w:eastAsia="宋体" w:cs="宋体"/>
          <w:b/>
          <w:sz w:val="24"/>
          <w:szCs w:val="24"/>
          <w:u w:val="single"/>
          <w:lang w:val="en-US" w:eastAsia="zh-CN"/>
        </w:rPr>
        <w:t xml:space="preserve">    </w:t>
      </w:r>
      <w:r>
        <w:rPr>
          <w:rFonts w:hint="eastAsia" w:ascii="宋体" w:hAnsi="宋体" w:eastAsia="宋体" w:cs="宋体"/>
          <w:sz w:val="24"/>
          <w:szCs w:val="24"/>
        </w:rPr>
        <w:t>份，甲方持</w:t>
      </w:r>
      <w:r>
        <w:rPr>
          <w:rFonts w:hint="eastAsia" w:ascii="宋体" w:hAnsi="宋体" w:eastAsia="宋体" w:cs="宋体"/>
          <w:b/>
          <w:sz w:val="24"/>
          <w:szCs w:val="24"/>
          <w:u w:val="single"/>
          <w:lang w:val="en-US" w:eastAsia="zh-CN"/>
        </w:rPr>
        <w:t xml:space="preserve">   </w:t>
      </w:r>
      <w:r>
        <w:rPr>
          <w:rFonts w:hint="eastAsia" w:ascii="宋体" w:hAnsi="宋体" w:eastAsia="宋体" w:cs="宋体"/>
          <w:sz w:val="24"/>
          <w:szCs w:val="24"/>
        </w:rPr>
        <w:t>份，乙方持</w:t>
      </w:r>
      <w:r>
        <w:rPr>
          <w:rFonts w:hint="eastAsia" w:ascii="宋体" w:hAnsi="宋体" w:eastAsia="宋体" w:cs="宋体"/>
          <w:b/>
          <w:sz w:val="24"/>
          <w:szCs w:val="24"/>
          <w:u w:val="single"/>
          <w:lang w:val="en-US" w:eastAsia="zh-CN"/>
        </w:rPr>
        <w:t xml:space="preserve">   </w:t>
      </w:r>
      <w:r>
        <w:rPr>
          <w:rFonts w:hint="eastAsia" w:ascii="宋体" w:hAnsi="宋体" w:eastAsia="宋体" w:cs="宋体"/>
          <w:sz w:val="24"/>
          <w:szCs w:val="24"/>
        </w:rPr>
        <w:t>份，甲乙双方签字盖章后生效。</w:t>
      </w:r>
    </w:p>
    <w:tbl>
      <w:tblPr>
        <w:tblStyle w:val="11"/>
        <w:tblW w:w="9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00"/>
        <w:gridCol w:w="4680"/>
      </w:tblGrid>
      <w:tr w14:paraId="24F7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2" w:hRule="exact"/>
          <w:jc w:val="center"/>
        </w:trPr>
        <w:tc>
          <w:tcPr>
            <w:tcW w:w="4400" w:type="dxa"/>
            <w:tcBorders>
              <w:tl2br w:val="nil"/>
              <w:tr2bl w:val="nil"/>
            </w:tcBorders>
            <w:noWrap w:val="0"/>
            <w:tcMar>
              <w:left w:w="0" w:type="dxa"/>
              <w:right w:w="0" w:type="dxa"/>
            </w:tcMar>
            <w:vAlign w:val="center"/>
          </w:tcPr>
          <w:p w14:paraId="6CA9EC7F">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甲方：陕西省西安市中级人民法院</w:t>
            </w:r>
          </w:p>
          <w:p w14:paraId="59AE4BEF">
            <w:pPr>
              <w:pageBreakBefore w:val="0"/>
              <w:kinsoku/>
              <w:wordWrap/>
              <w:overflowPunct/>
              <w:topLinePunct w:val="0"/>
              <w:autoSpaceDE w:val="0"/>
              <w:autoSpaceDN w:val="0"/>
              <w:bidi w:val="0"/>
              <w:adjustRightInd w:val="0"/>
              <w:spacing w:line="360" w:lineRule="auto"/>
              <w:ind w:firstLine="2880" w:firstLineChars="1200"/>
              <w:textAlignment w:val="auto"/>
              <w:rPr>
                <w:rFonts w:hint="eastAsia" w:ascii="宋体" w:hAnsi="宋体" w:eastAsia="宋体" w:cs="宋体"/>
                <w:b/>
                <w:kern w:val="0"/>
                <w:sz w:val="24"/>
                <w:szCs w:val="24"/>
              </w:rPr>
            </w:pPr>
            <w:r>
              <w:rPr>
                <w:rFonts w:hint="eastAsia" w:ascii="宋体" w:hAnsi="宋体" w:eastAsia="宋体" w:cs="宋体"/>
                <w:color w:val="000000"/>
                <w:kern w:val="0"/>
                <w:sz w:val="24"/>
                <w:szCs w:val="24"/>
              </w:rPr>
              <w:t>（盖章）</w:t>
            </w:r>
          </w:p>
        </w:tc>
        <w:tc>
          <w:tcPr>
            <w:tcW w:w="4680" w:type="dxa"/>
            <w:tcBorders>
              <w:tl2br w:val="nil"/>
              <w:tr2bl w:val="nil"/>
            </w:tcBorders>
            <w:noWrap w:val="0"/>
            <w:tcMar>
              <w:left w:w="0" w:type="dxa"/>
              <w:right w:w="0" w:type="dxa"/>
            </w:tcMar>
            <w:vAlign w:val="center"/>
          </w:tcPr>
          <w:p w14:paraId="7721FB5B">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b w:val="0"/>
                <w:bCs w:val="0"/>
                <w:sz w:val="24"/>
                <w:szCs w:val="24"/>
                <w:u w:val="none"/>
                <w:lang w:val="en-US" w:eastAsia="zh-CN"/>
              </w:rPr>
            </w:pPr>
            <w:r>
              <w:rPr>
                <w:rFonts w:hint="eastAsia" w:ascii="宋体" w:hAnsi="宋体" w:eastAsia="宋体" w:cs="宋体"/>
                <w:b/>
                <w:kern w:val="0"/>
                <w:sz w:val="24"/>
                <w:szCs w:val="24"/>
              </w:rPr>
              <w:t>乙方：</w:t>
            </w:r>
            <w:r>
              <w:rPr>
                <w:rFonts w:hint="eastAsia" w:ascii="宋体" w:hAnsi="宋体" w:eastAsia="宋体" w:cs="宋体"/>
                <w:b w:val="0"/>
                <w:bCs w:val="0"/>
                <w:sz w:val="24"/>
                <w:szCs w:val="24"/>
                <w:u w:val="none"/>
                <w:lang w:val="en-US" w:eastAsia="zh-CN"/>
              </w:rPr>
              <w:t>中国邮政速递物流股份有限公司</w:t>
            </w:r>
          </w:p>
          <w:p w14:paraId="03122E55">
            <w:pPr>
              <w:pageBreakBefore w:val="0"/>
              <w:kinsoku/>
              <w:wordWrap/>
              <w:overflowPunct/>
              <w:topLinePunct w:val="0"/>
              <w:autoSpaceDE w:val="0"/>
              <w:autoSpaceDN w:val="0"/>
              <w:bidi w:val="0"/>
              <w:adjustRightInd w:val="0"/>
              <w:spacing w:line="360" w:lineRule="auto"/>
              <w:ind w:firstLine="720" w:firstLineChars="300"/>
              <w:textAlignment w:val="auto"/>
              <w:rPr>
                <w:rFonts w:hint="eastAsia" w:ascii="宋体" w:hAnsi="宋体" w:eastAsia="宋体" w:cs="宋体"/>
                <w:b/>
                <w:kern w:val="0"/>
                <w:sz w:val="24"/>
                <w:szCs w:val="24"/>
                <w:u w:val="none"/>
              </w:rPr>
            </w:pPr>
            <w:r>
              <w:rPr>
                <w:rFonts w:hint="eastAsia" w:ascii="宋体" w:hAnsi="宋体" w:eastAsia="宋体" w:cs="宋体"/>
                <w:b w:val="0"/>
                <w:bCs w:val="0"/>
                <w:sz w:val="24"/>
                <w:szCs w:val="24"/>
                <w:u w:val="none"/>
                <w:lang w:val="en-US" w:eastAsia="zh-CN"/>
              </w:rPr>
              <w:t xml:space="preserve">西安市分公司         </w:t>
            </w:r>
            <w:r>
              <w:rPr>
                <w:rFonts w:hint="eastAsia" w:ascii="宋体" w:hAnsi="宋体" w:eastAsia="宋体" w:cs="宋体"/>
                <w:color w:val="000000"/>
                <w:kern w:val="0"/>
                <w:sz w:val="24"/>
                <w:szCs w:val="24"/>
              </w:rPr>
              <w:t>（盖章）</w:t>
            </w:r>
          </w:p>
          <w:p w14:paraId="630DC34D">
            <w:pPr>
              <w:pageBreakBefore w:val="0"/>
              <w:kinsoku/>
              <w:wordWrap/>
              <w:overflowPunct/>
              <w:topLinePunct w:val="0"/>
              <w:autoSpaceDE w:val="0"/>
              <w:autoSpaceDN w:val="0"/>
              <w:bidi w:val="0"/>
              <w:adjustRightInd w:val="0"/>
              <w:spacing w:line="360" w:lineRule="auto"/>
              <w:ind w:firstLine="3360" w:firstLineChars="1400"/>
              <w:textAlignment w:val="auto"/>
              <w:rPr>
                <w:rFonts w:hint="eastAsia" w:ascii="宋体" w:hAnsi="宋体" w:eastAsia="宋体" w:cs="宋体"/>
                <w:b/>
                <w:kern w:val="0"/>
                <w:sz w:val="24"/>
                <w:szCs w:val="24"/>
              </w:rPr>
            </w:pPr>
            <w:r>
              <w:rPr>
                <w:rFonts w:hint="eastAsia" w:ascii="宋体" w:hAnsi="宋体" w:eastAsia="宋体" w:cs="宋体"/>
                <w:color w:val="000000"/>
                <w:kern w:val="0"/>
                <w:sz w:val="24"/>
                <w:szCs w:val="24"/>
              </w:rPr>
              <w:t>（盖章）</w:t>
            </w:r>
          </w:p>
        </w:tc>
      </w:tr>
      <w:tr w14:paraId="26D73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00" w:type="dxa"/>
            <w:tcBorders>
              <w:tl2br w:val="nil"/>
              <w:tr2bl w:val="nil"/>
            </w:tcBorders>
            <w:noWrap w:val="0"/>
            <w:vAlign w:val="center"/>
          </w:tcPr>
          <w:p w14:paraId="52083E52">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地址：西安市未央区二环北路东段139号</w:t>
            </w:r>
          </w:p>
        </w:tc>
        <w:tc>
          <w:tcPr>
            <w:tcW w:w="4680" w:type="dxa"/>
            <w:tcBorders>
              <w:tl2br w:val="nil"/>
              <w:tr2bl w:val="nil"/>
            </w:tcBorders>
            <w:noWrap w:val="0"/>
            <w:vAlign w:val="center"/>
          </w:tcPr>
          <w:p w14:paraId="51FE3D8B">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w:t>
            </w:r>
          </w:p>
        </w:tc>
      </w:tr>
      <w:tr w14:paraId="2A565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4400" w:type="dxa"/>
            <w:tcBorders>
              <w:tl2br w:val="nil"/>
              <w:tr2bl w:val="nil"/>
            </w:tcBorders>
            <w:noWrap w:val="0"/>
            <w:vAlign w:val="center"/>
          </w:tcPr>
          <w:p w14:paraId="6AD5DB84">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邮编：710016</w:t>
            </w:r>
            <w:bookmarkStart w:id="17" w:name="_GoBack"/>
            <w:bookmarkEnd w:id="17"/>
          </w:p>
        </w:tc>
        <w:tc>
          <w:tcPr>
            <w:tcW w:w="4680" w:type="dxa"/>
            <w:tcBorders>
              <w:tl2br w:val="nil"/>
              <w:tr2bl w:val="nil"/>
            </w:tcBorders>
            <w:noWrap w:val="0"/>
            <w:vAlign w:val="center"/>
          </w:tcPr>
          <w:p w14:paraId="7509EA9F">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邮编：</w:t>
            </w:r>
          </w:p>
        </w:tc>
      </w:tr>
      <w:tr w14:paraId="0AF41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exact"/>
          <w:jc w:val="center"/>
        </w:trPr>
        <w:tc>
          <w:tcPr>
            <w:tcW w:w="4400" w:type="dxa"/>
            <w:tcBorders>
              <w:tl2br w:val="nil"/>
              <w:tr2bl w:val="nil"/>
            </w:tcBorders>
            <w:noWrap w:val="0"/>
            <w:vAlign w:val="center"/>
          </w:tcPr>
          <w:p w14:paraId="6042A9FE">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法定代表人：</w:t>
            </w:r>
          </w:p>
        </w:tc>
        <w:tc>
          <w:tcPr>
            <w:tcW w:w="4680" w:type="dxa"/>
            <w:tcBorders>
              <w:tl2br w:val="nil"/>
              <w:tr2bl w:val="nil"/>
            </w:tcBorders>
            <w:noWrap w:val="0"/>
            <w:vAlign w:val="center"/>
          </w:tcPr>
          <w:p w14:paraId="66D65141">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法定代表人：</w:t>
            </w:r>
          </w:p>
        </w:tc>
      </w:tr>
      <w:tr w14:paraId="2EF7F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exact"/>
          <w:jc w:val="center"/>
        </w:trPr>
        <w:tc>
          <w:tcPr>
            <w:tcW w:w="4400" w:type="dxa"/>
            <w:tcBorders>
              <w:tl2br w:val="nil"/>
              <w:tr2bl w:val="nil"/>
            </w:tcBorders>
            <w:noWrap w:val="0"/>
            <w:vAlign w:val="center"/>
          </w:tcPr>
          <w:p w14:paraId="61615B92">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被授权代表：（签字）</w:t>
            </w:r>
          </w:p>
        </w:tc>
        <w:tc>
          <w:tcPr>
            <w:tcW w:w="4680" w:type="dxa"/>
            <w:tcBorders>
              <w:tl2br w:val="nil"/>
              <w:tr2bl w:val="nil"/>
            </w:tcBorders>
            <w:noWrap w:val="0"/>
            <w:vAlign w:val="center"/>
          </w:tcPr>
          <w:p w14:paraId="7C65B9F2">
            <w:pPr>
              <w:pageBreakBefore w:val="0"/>
              <w:kinsoku/>
              <w:wordWrap/>
              <w:overflowPunct/>
              <w:topLinePunct w:val="0"/>
              <w:autoSpaceDE w:val="0"/>
              <w:autoSpaceDN w:val="0"/>
              <w:bidi w:val="0"/>
              <w:adjustRightIn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被授权代表：（签字）</w:t>
            </w:r>
          </w:p>
        </w:tc>
      </w:tr>
      <w:tr w14:paraId="43F9D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jc w:val="center"/>
        </w:trPr>
        <w:tc>
          <w:tcPr>
            <w:tcW w:w="4400" w:type="dxa"/>
            <w:tcBorders>
              <w:tl2br w:val="nil"/>
              <w:tr2bl w:val="nil"/>
            </w:tcBorders>
            <w:noWrap w:val="0"/>
            <w:vAlign w:val="center"/>
          </w:tcPr>
          <w:p w14:paraId="44EFA39F">
            <w:pPr>
              <w:pageBreakBefore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c>
          <w:tcPr>
            <w:tcW w:w="4680" w:type="dxa"/>
            <w:tcBorders>
              <w:tl2br w:val="nil"/>
              <w:tr2bl w:val="nil"/>
            </w:tcBorders>
            <w:noWrap w:val="0"/>
            <w:vAlign w:val="center"/>
          </w:tcPr>
          <w:p w14:paraId="48DF2FA8">
            <w:pPr>
              <w:pageBreakBefore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日期：     年    月    日</w:t>
            </w:r>
          </w:p>
        </w:tc>
      </w:tr>
    </w:tbl>
    <w:p w14:paraId="7A6BCA57">
      <w:pPr>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p>
    <w:sectPr>
      <w:head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5CAA">
    <w:pPr>
      <w:pStyle w:val="2"/>
      <w:spacing w:line="174" w:lineRule="auto"/>
      <w:rPr>
        <w:sz w:val="18"/>
        <w:szCs w:val="18"/>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108585</wp:posOffset>
              </wp:positionV>
              <wp:extent cx="5943600" cy="5080"/>
              <wp:effectExtent l="0" t="0" r="0" b="0"/>
              <wp:wrapNone/>
              <wp:docPr id="1" name="矩形 1"/>
              <wp:cNvGraphicFramePr/>
              <a:graphic xmlns:a="http://schemas.openxmlformats.org/drawingml/2006/main">
                <a:graphicData uri="http://schemas.microsoft.com/office/word/2010/wordprocessingShape">
                  <wps:wsp>
                    <wps:cNvSpPr/>
                    <wps:spPr>
                      <a:xfrm>
                        <a:off x="0" y="0"/>
                        <a:ext cx="5943600" cy="508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0pt;margin-top:8.55pt;height:0.4pt;width:468pt;z-index:251659264;mso-width-relative:page;mso-height-relative:page;" fillcolor="#000000" filled="t" stroked="f" coordsize="21600,21600" o:gfxdata="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avbMI1QAA&#10;AAYBAAAPAAAAAAAAAAEAIAAAACIAAABkcnMvZG93bnJldi54bWxQSwECFAAUAAAACACHTuJAJlU5&#10;Cq8BAABdAwAADgAAAAAAAAABACAAAAAkAQAAZHJzL2Uyb0RvYy54bWxQSwUGAAAAAAYABgBZAQAA&#10;RQUAAAAA&#10;">
              <v:fill on="t" focussize="0,0"/>
              <v:stroke on="f"/>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B4E5464"/>
    <w:rsid w:val="013C690E"/>
    <w:rsid w:val="01B6221C"/>
    <w:rsid w:val="041517C6"/>
    <w:rsid w:val="05D874A1"/>
    <w:rsid w:val="064630EF"/>
    <w:rsid w:val="06E567CC"/>
    <w:rsid w:val="0BC3220A"/>
    <w:rsid w:val="0C9C45A4"/>
    <w:rsid w:val="0F0767AD"/>
    <w:rsid w:val="0F704352"/>
    <w:rsid w:val="11692E07"/>
    <w:rsid w:val="13DF6C1A"/>
    <w:rsid w:val="160C28FB"/>
    <w:rsid w:val="172123D6"/>
    <w:rsid w:val="1A44262D"/>
    <w:rsid w:val="1B884F5A"/>
    <w:rsid w:val="1BBB6955"/>
    <w:rsid w:val="1D7A3220"/>
    <w:rsid w:val="1D921938"/>
    <w:rsid w:val="1F5C21FD"/>
    <w:rsid w:val="1F925C1F"/>
    <w:rsid w:val="1FB43DE7"/>
    <w:rsid w:val="200A3A07"/>
    <w:rsid w:val="24277076"/>
    <w:rsid w:val="25A94D83"/>
    <w:rsid w:val="26461511"/>
    <w:rsid w:val="269F0C21"/>
    <w:rsid w:val="27BD3A55"/>
    <w:rsid w:val="2CD51841"/>
    <w:rsid w:val="2DA336ED"/>
    <w:rsid w:val="32F347CF"/>
    <w:rsid w:val="35F8389A"/>
    <w:rsid w:val="37021484"/>
    <w:rsid w:val="37E52144"/>
    <w:rsid w:val="390F7EC1"/>
    <w:rsid w:val="39E84962"/>
    <w:rsid w:val="3A856D10"/>
    <w:rsid w:val="3B0B653D"/>
    <w:rsid w:val="3C197478"/>
    <w:rsid w:val="3C7C3A87"/>
    <w:rsid w:val="3CD531CB"/>
    <w:rsid w:val="3FFF7A58"/>
    <w:rsid w:val="408C234E"/>
    <w:rsid w:val="40D741AF"/>
    <w:rsid w:val="4169225E"/>
    <w:rsid w:val="45156827"/>
    <w:rsid w:val="469A5235"/>
    <w:rsid w:val="46DC584E"/>
    <w:rsid w:val="493D634C"/>
    <w:rsid w:val="4B013AD5"/>
    <w:rsid w:val="4B7353A1"/>
    <w:rsid w:val="4DAE5A6A"/>
    <w:rsid w:val="52F061DD"/>
    <w:rsid w:val="53692CAC"/>
    <w:rsid w:val="537D3F15"/>
    <w:rsid w:val="56804917"/>
    <w:rsid w:val="56F87D3A"/>
    <w:rsid w:val="57DB1539"/>
    <w:rsid w:val="581806B0"/>
    <w:rsid w:val="583C439E"/>
    <w:rsid w:val="5D373386"/>
    <w:rsid w:val="5D83481E"/>
    <w:rsid w:val="5E2F1AE1"/>
    <w:rsid w:val="5EB15565"/>
    <w:rsid w:val="62E21FE6"/>
    <w:rsid w:val="699F29DF"/>
    <w:rsid w:val="6A721EA2"/>
    <w:rsid w:val="6B2F6F8A"/>
    <w:rsid w:val="6F3911E0"/>
    <w:rsid w:val="70363BFB"/>
    <w:rsid w:val="740C0C71"/>
    <w:rsid w:val="74580DC3"/>
    <w:rsid w:val="74640AAD"/>
    <w:rsid w:val="774B7723"/>
    <w:rsid w:val="78170104"/>
    <w:rsid w:val="79346574"/>
    <w:rsid w:val="7A923E9A"/>
    <w:rsid w:val="7B4E5464"/>
    <w:rsid w:val="7CD95DB0"/>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autoRedefine/>
    <w:qFormat/>
    <w:uiPriority w:val="0"/>
    <w:pPr>
      <w:keepNext/>
      <w:outlineLvl w:val="0"/>
    </w:pPr>
    <w:rPr>
      <w:rFonts w:ascii="仿宋_GB2312" w:hAnsi="宋体" w:eastAsia="仿宋_GB2312"/>
      <w:b/>
      <w:kern w:val="2"/>
      <w:sz w:val="32"/>
    </w:rPr>
  </w:style>
  <w:style w:type="paragraph" w:styleId="4">
    <w:name w:val="heading 2"/>
    <w:basedOn w:val="1"/>
    <w:next w:val="5"/>
    <w:autoRedefine/>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6">
    <w:name w:val="heading 3"/>
    <w:basedOn w:val="1"/>
    <w:next w:val="1"/>
    <w:link w:val="15"/>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2">
    <w:name w:val="Default Paragraph Font"/>
    <w:autoRedefine/>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pPr>
    <w:rPr>
      <w:rFonts w:ascii="Times New Roman"/>
      <w:kern w:val="2"/>
      <w:sz w:val="21"/>
    </w:rPr>
  </w:style>
  <w:style w:type="paragraph" w:styleId="5">
    <w:name w:val="Normal Indent"/>
    <w:basedOn w:val="1"/>
    <w:autoRedefine/>
    <w:qFormat/>
    <w:uiPriority w:val="0"/>
    <w:pPr>
      <w:spacing w:line="300" w:lineRule="auto"/>
      <w:ind w:firstLine="420" w:firstLineChars="200"/>
    </w:pPr>
    <w:rPr>
      <w:rFonts w:ascii="Times New Roman"/>
      <w:kern w:val="2"/>
      <w:sz w:val="21"/>
      <w:szCs w:val="24"/>
    </w:rPr>
  </w:style>
  <w:style w:type="paragraph" w:styleId="7">
    <w:name w:val="footer"/>
    <w:basedOn w:val="1"/>
    <w:autoRedefine/>
    <w:qFormat/>
    <w:uiPriority w:val="99"/>
    <w:pPr>
      <w:tabs>
        <w:tab w:val="center" w:pos="4153"/>
        <w:tab w:val="right" w:pos="8306"/>
      </w:tabs>
      <w:snapToGrid w:val="0"/>
      <w:jc w:val="left"/>
    </w:pPr>
    <w:rPr>
      <w:rFonts w:ascii="Times New Roman"/>
      <w:kern w:val="2"/>
      <w:sz w:val="18"/>
      <w:szCs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index 7"/>
    <w:basedOn w:val="1"/>
    <w:next w:val="1"/>
    <w:autoRedefine/>
    <w:qFormat/>
    <w:uiPriority w:val="99"/>
    <w:pPr>
      <w:ind w:left="2520"/>
    </w:pPr>
    <w:rPr>
      <w:rFonts w:ascii="黑体" w:hAnsi="Calibri" w:eastAsia="黑体"/>
      <w:kern w:val="2"/>
      <w:sz w:val="32"/>
      <w:szCs w:val="32"/>
    </w:rPr>
  </w:style>
  <w:style w:type="paragraph" w:styleId="10">
    <w:name w:val="Normal (Web)"/>
    <w:basedOn w:val="1"/>
    <w:next w:val="9"/>
    <w:autoRedefine/>
    <w:qFormat/>
    <w:uiPriority w:val="99"/>
    <w:pPr>
      <w:widowControl/>
      <w:spacing w:before="100" w:beforeAutospacing="1" w:after="100" w:afterAutospacing="1"/>
      <w:jc w:val="left"/>
    </w:pPr>
    <w:rPr>
      <w:rFonts w:ascii="宋体" w:hAnsi="宋体" w:cs="宋体"/>
      <w:sz w:val="24"/>
      <w:szCs w:val="24"/>
    </w:rPr>
  </w:style>
  <w:style w:type="paragraph" w:customStyle="1" w:styleId="13">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customStyle="1" w:styleId="14">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character" w:customStyle="1" w:styleId="15">
    <w:name w:val="标题 3 Char"/>
    <w:link w:val="6"/>
    <w:autoRedefine/>
    <w:qFormat/>
    <w:uiPriority w:val="0"/>
    <w:rPr>
      <w:rFonts w:ascii="Times New Roman" w:hAnsi="Times New Roman" w:eastAsia="仿宋"/>
      <w:b/>
      <w:bCs/>
      <w:kern w:val="2"/>
      <w:sz w:val="24"/>
      <w:szCs w:val="24"/>
    </w:rPr>
  </w:style>
  <w:style w:type="table" w:customStyle="1" w:styleId="16">
    <w:name w:val="Table Normal"/>
    <w:autoRedefine/>
    <w:semiHidden/>
    <w:unhideWhenUsed/>
    <w:qFormat/>
    <w:uiPriority w:val="0"/>
    <w:tblPr>
      <w:tblCellMar>
        <w:top w:w="0" w:type="dxa"/>
        <w:left w:w="0" w:type="dxa"/>
        <w:bottom w:w="0" w:type="dxa"/>
        <w:right w:w="0" w:type="dxa"/>
      </w:tblCellMar>
    </w:tblPr>
  </w:style>
  <w:style w:type="paragraph" w:customStyle="1" w:styleId="17">
    <w:name w:val="Table Text"/>
    <w:basedOn w:val="1"/>
    <w:autoRedefine/>
    <w:semiHidden/>
    <w:qFormat/>
    <w:uiPriority w:val="0"/>
    <w:rPr>
      <w:rFonts w:ascii="宋体" w:hAnsi="宋体" w:eastAsia="宋体" w:cs="宋体"/>
      <w:sz w:val="24"/>
      <w:szCs w:val="24"/>
      <w:lang w:val="en-US" w:eastAsia="en-US" w:bidi="ar-SA"/>
    </w:rPr>
  </w:style>
  <w:style w:type="paragraph" w:customStyle="1" w:styleId="18">
    <w:name w:val="Other|1"/>
    <w:basedOn w:val="1"/>
    <w:qFormat/>
    <w:uiPriority w:val="0"/>
    <w:pPr>
      <w:spacing w:line="406"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3600</Words>
  <Characters>3628</Characters>
  <Lines>0</Lines>
  <Paragraphs>0</Paragraphs>
  <TotalTime>0</TotalTime>
  <ScaleCrop>false</ScaleCrop>
  <LinksUpToDate>false</LinksUpToDate>
  <CharactersWithSpaces>3781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2023-08-18T06:14:00Z</dcterms:created>
  <dc:creator>？</dc:creator>
  <cp:lastModifiedBy>QQQQ</cp:lastModifiedBy>
  <dcterms:modified xsi:type="dcterms:W3CDTF">2026-04-15T09:17:59Z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FC240D69AAD24DA0810042197C34DE24_11</vt:lpwstr>
  </property>
  <property fmtid="{D5CDD505-2E9C-101B-9397-08002B2CF9AE}" pid="4" name="KSOTemplateDocerSaveRecord">
    <vt:lpwstr>eyJoZGlkIjoiNmZlMDQwN2NiMDE0ZGM3OGQyMjI2MGI5NGMzYzk3YjEiLCJ1c2VySWQiOiIzODkzMjE1NzcifQ==</vt:lpwstr>
  </property>
</Properties>
</file>