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版本号：HTZH003-120260415001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2026年干部教育培训部分班次项目(二次)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HTZH003-1</w:t>
      </w:r>
      <w:r>
        <w:br/>
      </w:r>
      <w:r>
        <w:br/>
      </w:r>
      <w:r>
        <w:br/>
      </w:r>
    </w:p>
    <w:p>
      <w:pPr>
        <w:pStyle w:val="null3"/>
        <w:jc w:val="center"/>
        <w:outlineLvl w:val="2"/>
      </w:pPr>
      <w:r>
        <w:rPr>
          <w:rFonts w:ascii="仿宋_GB2312" w:hAnsi="仿宋_GB2312" w:cs="仿宋_GB2312" w:eastAsia="仿宋_GB2312"/>
          <w:sz w:val="28"/>
          <w:b/>
        </w:rPr>
        <w:t>中共西安市委组织部（本级）</w:t>
      </w:r>
    </w:p>
    <w:p>
      <w:pPr>
        <w:pStyle w:val="null3"/>
        <w:jc w:val="center"/>
        <w:outlineLvl w:val="2"/>
      </w:pPr>
      <w:r>
        <w:rPr>
          <w:rFonts w:ascii="仿宋_GB2312" w:hAnsi="仿宋_GB2312" w:cs="仿宋_GB2312" w:eastAsia="仿宋_GB2312"/>
          <w:sz w:val="28"/>
          <w:b/>
        </w:rPr>
        <w:t>陕西弘泰中恒项目管理有限公司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陕西弘泰中恒项目管理有限公司</w:t>
      </w:r>
      <w:r>
        <w:rPr>
          <w:rFonts w:ascii="仿宋_GB2312" w:hAnsi="仿宋_GB2312" w:cs="仿宋_GB2312" w:eastAsia="仿宋_GB2312"/>
        </w:rPr>
        <w:t>（以下简称“代理机构”）受</w:t>
      </w:r>
      <w:r>
        <w:rPr>
          <w:rFonts w:ascii="仿宋_GB2312" w:hAnsi="仿宋_GB2312" w:cs="仿宋_GB2312" w:eastAsia="仿宋_GB2312"/>
        </w:rPr>
        <w:t>中共西安市委组织部（本级）</w:t>
      </w:r>
      <w:r>
        <w:rPr>
          <w:rFonts w:ascii="仿宋_GB2312" w:hAnsi="仿宋_GB2312" w:cs="仿宋_GB2312" w:eastAsia="仿宋_GB2312"/>
        </w:rPr>
        <w:t>委托，拟对</w:t>
      </w:r>
      <w:r>
        <w:rPr>
          <w:rFonts w:ascii="仿宋_GB2312" w:hAnsi="仿宋_GB2312" w:cs="仿宋_GB2312" w:eastAsia="仿宋_GB2312"/>
        </w:rPr>
        <w:t>2026年干部教育培训部分班次项目(二次)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HTZH003-1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2026年干部教育培训部分班次项目(二次)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委组织部2026年干部教育培训项目，为提升干部政治素养与履职能力水平，根据《2026年西安市干部教育培训计划》安排，2026年拟采取“请进来”“走出去”相结合的方式，组织3期赴省外高水平大学举办的异地专题培训和3期本地实战化短训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采购包1（2026年干部教育培训部分班次项目）：属于专门面向小微企业采购。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1、供应商在递交响应文件截止时间前被“信用中国”网站（www.creditchi na.gov.cn）和中国政府采 购网（www.ccgp.gov.cn）上被列入失信被执行人、重大税收违法失信主体、政府采购严重违法失信行为记录名单的，不得参加投标。：供应商在递交响应文件截止时间前被“信用中国”网站（www.creditchi na.gov.cn）和中国政府采 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应授权合法的人员参加投标，其中法定代表人直接参加投标的，须出具法人身份证，并与营业执照上信息一致。法定代表人授权代表参加投标的，须出具法定代表人授权书：供应商应授权合法的人员参加投标，其中法定代表人直接参加投标的，须出具法人身份证，并与营业执照上信息一致。法定代表人授权代表参加投标的，须出具法定代表人授权书.</w:t>
      </w:r>
    </w:p>
    <w:p>
      <w:pPr>
        <w:pStyle w:val="null3"/>
      </w:pPr>
      <w:r>
        <w:rPr>
          <w:rFonts w:ascii="仿宋_GB2312" w:hAnsi="仿宋_GB2312" w:cs="仿宋_GB2312" w:eastAsia="仿宋_GB2312"/>
        </w:rPr>
        <w:t>3、供应商单位负责人为同一人或者存在直接控股、管理关系的不同供应商，不得参加本次采购活动。：供应商单位负责人为同一人或者存在直接控股、管理关系的不同供应商，不得参加本次采购活动。</w:t>
      </w:r>
    </w:p>
    <w:p>
      <w:pPr>
        <w:pStyle w:val="null3"/>
      </w:pPr>
      <w:r>
        <w:rPr>
          <w:rFonts w:ascii="仿宋_GB2312" w:hAnsi="仿宋_GB2312" w:cs="仿宋_GB2312" w:eastAsia="仿宋_GB2312"/>
        </w:rPr>
        <w:t>4、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5、需向采购代理机构获取磋商文件，未向采购代理机构获取磋商文件的供应商均无资格参加投标.：需向采购代理机构获取磋商文件，未向采购代理机构获取磋商文件的供应商均无资格参加投标.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中共西安市委组织部（本级）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中共西安市委组织部（本级）经办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67090565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陕西弘泰中恒项目管理有限公司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西安市国际港务区中粮大悦广场5B803室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19991823582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代理服务费收费标准：20000.00元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中共西安市委组织部（本级）</w:t>
      </w:r>
      <w:r>
        <w:rPr>
          <w:rFonts w:ascii="仿宋_GB2312" w:hAnsi="仿宋_GB2312" w:cs="仿宋_GB2312" w:eastAsia="仿宋_GB2312"/>
        </w:rPr>
        <w:t>和</w:t>
      </w:r>
      <w:r>
        <w:rPr>
          <w:rFonts w:ascii="仿宋_GB2312" w:hAnsi="仿宋_GB2312" w:cs="仿宋_GB2312" w:eastAsia="仿宋_GB2312"/>
        </w:rPr>
        <w:t>陕西弘泰中恒项目管理有限公司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中共西安市委组织部（本级）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陕西弘泰中恒项目管理有限公司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中共西安市委组织部（本级）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陕西弘泰中恒项目管理有限公司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陕西弘泰中恒项目管理有限公司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陕西弘泰中恒项目管理有限公司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陕西弘泰中恒项目管理有限公司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联系人：王璞</w:t>
      </w:r>
    </w:p>
    <w:p>
      <w:pPr>
        <w:pStyle w:val="null3"/>
      </w:pPr>
      <w:r>
        <w:rPr>
          <w:rFonts w:ascii="仿宋_GB2312" w:hAnsi="仿宋_GB2312" w:cs="仿宋_GB2312" w:eastAsia="仿宋_GB2312"/>
        </w:rPr>
        <w:t>联系电话：19991823282</w:t>
      </w:r>
    </w:p>
    <w:p>
      <w:pPr>
        <w:pStyle w:val="null3"/>
      </w:pPr>
      <w:r>
        <w:rPr>
          <w:rFonts w:ascii="仿宋_GB2312" w:hAnsi="仿宋_GB2312" w:cs="仿宋_GB2312" w:eastAsia="仿宋_GB2312"/>
        </w:rPr>
        <w:t>地址：陕西省西安市国际港务区中粮大悦广场5B803室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西安市干部政治素养与履职能力水平，根据《2026年西安市干部教育培训计划》安排，2026年拟采取“请进来”“走出去”相结合的方式，组织3期赴省外高水平大学举办的异地专题培训和3期本地实战化短训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培训服务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35"/>
              <w:gridCol w:w="1618"/>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数量要求：（视实际情况和采购方需求可进行调整，以实际班数、人数为准）</w:t>
                  </w:r>
                </w:p>
              </w:tc>
              <w:tc>
                <w:tcPr>
                  <w:tcW w:type="dxa" w:w="1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①异地培训班次，计划安排</w:t>
                  </w:r>
                  <w:r>
                    <w:rPr>
                      <w:rFonts w:ascii="仿宋_GB2312" w:hAnsi="仿宋_GB2312" w:cs="仿宋_GB2312" w:eastAsia="仿宋_GB2312"/>
                      <w:sz w:val="19"/>
                    </w:rPr>
                    <w:t>3</w:t>
                  </w:r>
                  <w:r>
                    <w:rPr>
                      <w:rFonts w:ascii="仿宋_GB2312" w:hAnsi="仿宋_GB2312" w:cs="仿宋_GB2312" w:eastAsia="仿宋_GB2312"/>
                      <w:sz w:val="19"/>
                    </w:rPr>
                    <w:t>期，每期</w:t>
                  </w:r>
                  <w:r>
                    <w:rPr>
                      <w:rFonts w:ascii="仿宋_GB2312" w:hAnsi="仿宋_GB2312" w:cs="仿宋_GB2312" w:eastAsia="仿宋_GB2312"/>
                      <w:sz w:val="19"/>
                    </w:rPr>
                    <w:t>7</w:t>
                  </w:r>
                  <w:r>
                    <w:rPr>
                      <w:rFonts w:ascii="仿宋_GB2312" w:hAnsi="仿宋_GB2312" w:cs="仿宋_GB2312" w:eastAsia="仿宋_GB2312"/>
                      <w:sz w:val="19"/>
                    </w:rPr>
                    <w:t>天（含往返），每期参训人数约</w:t>
                  </w:r>
                  <w:r>
                    <w:rPr>
                      <w:rFonts w:ascii="仿宋_GB2312" w:hAnsi="仿宋_GB2312" w:cs="仿宋_GB2312" w:eastAsia="仿宋_GB2312"/>
                      <w:sz w:val="19"/>
                    </w:rPr>
                    <w:t>55人（含工作人员）。</w:t>
                  </w:r>
                </w:p>
                <w:p>
                  <w:pPr>
                    <w:pStyle w:val="null3"/>
                  </w:pPr>
                  <w:r>
                    <w:rPr>
                      <w:rFonts w:ascii="仿宋_GB2312" w:hAnsi="仿宋_GB2312" w:cs="仿宋_GB2312" w:eastAsia="仿宋_GB2312"/>
                      <w:sz w:val="19"/>
                    </w:rPr>
                    <w:t>②实战化短训班：计划安排</w:t>
                  </w:r>
                  <w:r>
                    <w:rPr>
                      <w:rFonts w:ascii="仿宋_GB2312" w:hAnsi="仿宋_GB2312" w:cs="仿宋_GB2312" w:eastAsia="仿宋_GB2312"/>
                      <w:sz w:val="19"/>
                    </w:rPr>
                    <w:t>3</w:t>
                  </w:r>
                  <w:r>
                    <w:rPr>
                      <w:rFonts w:ascii="仿宋_GB2312" w:hAnsi="仿宋_GB2312" w:cs="仿宋_GB2312" w:eastAsia="仿宋_GB2312"/>
                      <w:sz w:val="19"/>
                    </w:rPr>
                    <w:t>期，每期</w:t>
                  </w:r>
                  <w:r>
                    <w:rPr>
                      <w:rFonts w:ascii="仿宋_GB2312" w:hAnsi="仿宋_GB2312" w:cs="仿宋_GB2312" w:eastAsia="仿宋_GB2312"/>
                      <w:sz w:val="19"/>
                    </w:rPr>
                    <w:t>3</w:t>
                  </w:r>
                  <w:r>
                    <w:rPr>
                      <w:rFonts w:ascii="仿宋_GB2312" w:hAnsi="仿宋_GB2312" w:cs="仿宋_GB2312" w:eastAsia="仿宋_GB2312"/>
                      <w:sz w:val="19"/>
                    </w:rPr>
                    <w:t>天，每期参训人数约</w:t>
                  </w:r>
                  <w:r>
                    <w:rPr>
                      <w:rFonts w:ascii="仿宋_GB2312" w:hAnsi="仿宋_GB2312" w:cs="仿宋_GB2312" w:eastAsia="仿宋_GB2312"/>
                      <w:sz w:val="19"/>
                    </w:rPr>
                    <w:t>55人（含工作人员）。</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35"/>
              <w:gridCol w:w="1618"/>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时限要求</w:t>
                  </w:r>
                </w:p>
              </w:tc>
              <w:tc>
                <w:tcPr>
                  <w:tcW w:type="dxa" w:w="1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合同签定后至当年的</w:t>
                  </w:r>
                  <w:r>
                    <w:rPr>
                      <w:rFonts w:ascii="仿宋_GB2312" w:hAnsi="仿宋_GB2312" w:cs="仿宋_GB2312" w:eastAsia="仿宋_GB2312"/>
                      <w:sz w:val="19"/>
                    </w:rPr>
                    <w:t>11月30日前完成所有培训班项目、项目评估和资料汇编工作。</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35"/>
              <w:gridCol w:w="1618"/>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质量要求</w:t>
                  </w:r>
                </w:p>
              </w:tc>
              <w:tc>
                <w:tcPr>
                  <w:tcW w:type="dxa" w:w="1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及时做好与合作机构的对接工作，食宿安排不低于可比较的同类公务培训团组标准，学员满意度达到</w:t>
                  </w:r>
                  <w:r>
                    <w:rPr>
                      <w:rFonts w:ascii="仿宋_GB2312" w:hAnsi="仿宋_GB2312" w:cs="仿宋_GB2312" w:eastAsia="仿宋_GB2312"/>
                      <w:sz w:val="19"/>
                    </w:rPr>
                    <w:t>90%以上，有效投诉率不超过5%</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35"/>
              <w:gridCol w:w="1618"/>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纪律要求</w:t>
                  </w:r>
                </w:p>
              </w:tc>
              <w:tc>
                <w:tcPr>
                  <w:tcW w:type="dxa" w:w="1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严格按照相关规定，从严落实各项纪律要求，不得出现任何违规现象。</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35"/>
              <w:gridCol w:w="1618"/>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安全要求</w:t>
                  </w:r>
                </w:p>
              </w:tc>
              <w:tc>
                <w:tcPr>
                  <w:tcW w:type="dxa" w:w="1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培训期间注意学员人身安全、财产安全，不得出现任何安全事故</w:t>
                  </w:r>
                  <w:r>
                    <w:rPr>
                      <w:rFonts w:ascii="仿宋_GB2312" w:hAnsi="仿宋_GB2312" w:cs="仿宋_GB2312" w:eastAsia="仿宋_GB2312"/>
                      <w:sz w:val="19"/>
                    </w:rPr>
                    <w:t>。</w:t>
                  </w: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35"/>
              <w:gridCol w:w="1618"/>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资金要求</w:t>
                  </w:r>
                </w:p>
              </w:tc>
              <w:tc>
                <w:tcPr>
                  <w:tcW w:type="dxa" w:w="1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为保证项目顺利实施，供应商应具备较强的资金实力和严格的财务制度，为项目预留足够的准备金，应对部分费用预先垫支的情况。</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首付款：签订合同后，乙方开具正式发票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2026年11月底前采购方完成所有班次培训，采购方向乙方支付中标价的60%；若因双方共同认可的特殊原因或其他不可抗力导致培训班未能如期完成，双方可根据培训班的完成情况协商支付费用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尾期款：中标方完成心得汇编并通过采购方的项目验收，采购方向中标方支付中标价的10%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1.费用超支：乙方实际支出超出费用标准部分，由乙方自行承担，甲方不予补偿。 2.服务质量违约： 学员满意度＜90%或投诉率＞5%，甲方有权每项扣减合同金额10%； 若乙方擅自变更课程内容或师资配置，甲方有权拒付费用并索赔项目费用30%的违约金。 3.延迟履行：任何一方逾期履行服务交付义务或付款义务的，每逾期1日，应按未交付/未支付金额0.05%向对方支付违约金。 4.双方均应当按照本协议约定履行义务，任何一方不履行或不完全履行义务的，守约方有权要求违约方赔偿损失，包括但不限于律师费、诉讼费等维权合理费用支出。</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投标报价采用包干制，应包括成本、法定税费和相应的利润，应涵盖本项目招标范围和磋商文件所列的各项内容中所述的全部。由供应商根据招标需求自行测算投标报价；一经中标，投标报价即作为中标单位与采购人签订的合同金额。 2、供应商应充分了解项目的位置、情况、道路及任何其它足以影响投标报价的情况，任何因忽视或误解项目情况而导致的索赔或服务期限延长申请将不获批准。 3、供应商不得期望通过索赔等方式获取补偿，否则，除可能遭到拒绝外，还可能将被作为不良行为记录在案，并可能影响其以后参加政府采购的项目投标。各供应商在投标报价时，应充分考虑投标报价的风险。 4、鼓励采购人积极运用公共信用信息，明确对信用记录良好的供应商（特别是中小微企业）免收履约保证金，确需收取履约保证金的，列明通过保函等非现金方式收取。在采购合同中明确对上述企业加大首付款或预付款比例，具体由采购人根据项目实际情况确定。 5、除政府采购合同继续履行将损害国家利益和社会公共利益外，双方当事人不得擅自变更、中止或者终止合同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供应商需在项目电子化交易系统中按要求上传提供2024年度或2025年的财务审计报告复印件，或本年度基本开户银行出具的资信证明并进行电子签章。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供应商在递交响应文件截止时间前被“信用中国”网站（www.creditchi na.gov.cn）和中国政府采 购网（www.ccgp.gov.cn）上被列入失信被执行人、重大税收违法失信主体、政府采购严重违法失信行为记录名单的，不得参加投标。</w:t>
            </w:r>
          </w:p>
        </w:tc>
        <w:tc>
          <w:tcPr>
            <w:tcW w:type="dxa" w:w="3322"/>
          </w:tcPr>
          <w:p>
            <w:pPr>
              <w:pStyle w:val="null3"/>
            </w:pPr>
            <w:r>
              <w:rPr>
                <w:rFonts w:ascii="仿宋_GB2312" w:hAnsi="仿宋_GB2312" w:cs="仿宋_GB2312" w:eastAsia="仿宋_GB2312"/>
              </w:rPr>
              <w:t>供应商在递交响应文件截止时间前被“信用中国”网站（www.creditchi na.gov.cn）和中国政府采 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供应商应授权合法的人员参加投标，其中法定代表人直接参加投标的，须出具法人身份证，并与营业执照上信息一致。法定代表人授权代表参加投标的，须出具法定代表人授权书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供应商应授权合法的人员参加投标，其中法定代表人直接参加投标的，须出具法人身份证，并与营业执照上信息一致。法定代表人授权代表参加投标的，须出具法定代表人授权书.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供应商单位负责人为同一人或者存在直接控股、管理关系的不同供应商，不得参加本次采购活动。</w:t>
            </w:r>
          </w:p>
        </w:tc>
        <w:tc>
          <w:tcPr>
            <w:tcW w:type="dxa" w:w="3322"/>
          </w:tcPr>
          <w:p>
            <w:pPr>
              <w:pStyle w:val="null3"/>
            </w:pPr>
            <w:r>
              <w:rPr>
                <w:rFonts w:ascii="仿宋_GB2312" w:hAnsi="仿宋_GB2312" w:cs="仿宋_GB2312" w:eastAsia="仿宋_GB2312"/>
              </w:rPr>
              <w:t>供应商单位负责人为同一人或者存在直接控股、管理关系的不同供应商，不得参加本次采购活动。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需向采购代理机构获取磋商文件，未向采购代理机构获取磋商文件的供应商均无资格参加投标.</w:t>
            </w:r>
          </w:p>
        </w:tc>
        <w:tc>
          <w:tcPr>
            <w:tcW w:type="dxa" w:w="3322"/>
          </w:tcPr>
          <w:p>
            <w:pPr>
              <w:pStyle w:val="null3"/>
            </w:pPr>
            <w:r>
              <w:rPr>
                <w:rFonts w:ascii="仿宋_GB2312" w:hAnsi="仿宋_GB2312" w:cs="仿宋_GB2312" w:eastAsia="仿宋_GB2312"/>
              </w:rPr>
              <w:t>需向采购代理机构获取磋商文件，未向采购代理机构获取磋商文件的供应商均无资格参加投标.</w:t>
            </w:r>
          </w:p>
        </w:tc>
        <w:tc>
          <w:tcPr>
            <w:tcW w:type="dxa" w:w="1661"/>
          </w:tcPr>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供应商的投标报价未超出采购预算或最高限价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投标有效期符合磋商文件要求的（提交磋商文件的截止之日起不少于90天）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供应商的报价没有出现明显低于其他通过符合性审查供应商的报价，没有影响服务质量且能诚信履约，供应商能证明其报价合理性</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响应内容未出现漏项或与要求不符或响应内容的技术指标达不到磋商文件要求，未造成采购档次降低或影响服务质量。</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付款方式为实质性条款，供应商必须完全响应，不允许偏离，否则按照无效投标处理</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不存在其它不符合法律法规或磋商文件规定的投标无效条款。</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对供应商对照项目管理要求和项目技术要求提供专业类培训项目的整体工作方案、工作措施和工作流程等内容的合理性等内容进行评分。 1.实施方案包括行程安排、后勤服务、培训管理及培训评估等内容，要求合理可行、管理清晰、服务周到、过程控制严谨。 2.配备高水平且研究领域紧贴课程内容的师资进行授课。要求每期班全部授课老师具有副教授或相当水平以上职称，其中至少有两个半天为知名教授授课。 3.提供课程设计方案，课程设计需切合主题、模块学时设置合理。科学安排多种教学形式，要求专题授课不低于50%、互动教学不低于30%。 前述要求的方案内容均有描述且符合本项目要求的得12分；每缺少一项要求的方案内容扣 4 分，扣完为止；每实施方案有一项要求的方案内容有一处错误的(错误是指：对同一问题前后表述矛盾的，或逻辑错误的，或缺少关键节点，或涉及的规范及标准错误，或表述内容不完整，或不利于项目实施、不可能实现的情形等任意一种情形)，一处扣 0.5 分，扣完为止；每有一项要求的方案内容有一处描述不切合项目实际的，一处扣 1 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培训内容及教材编写或选用的服务方案（包含但不限于教学管理、教学保障、应急措施等），按其响应程度自主赋分：前述要求的方案内容均有描述且符合本项目要求的得12分；每缺少一项要求的方案内容扣4分，扣完为止；每实施方案有一项要求的方案内容有一处错误的(错误是指：对同一问题前后表述矛盾的，或逻辑错误的，或缺少关键节点，或涉及的规范及标准错误，或表述内容不完整，或不利于项目实施、不可能实现的情形等任意一种情形)，一处扣 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w:t>
            </w:r>
          </w:p>
        </w:tc>
        <w:tc>
          <w:tcPr>
            <w:tcW w:type="dxa" w:w="2492"/>
          </w:tcPr>
          <w:p>
            <w:pPr>
              <w:pStyle w:val="null3"/>
            </w:pPr>
            <w:r>
              <w:rPr>
                <w:rFonts w:ascii="仿宋_GB2312" w:hAnsi="仿宋_GB2312" w:cs="仿宋_GB2312" w:eastAsia="仿宋_GB2312"/>
              </w:rPr>
              <w:t>供应商针对本项目制订详细的培训计划及流程（包括但不限于讲师资源介绍、课程制定、专业特色、课程时长等），按其响应程度自主赋分：前述要求的方案内容均有描述且符合本项目要求的得10分；每缺少一项要求的方案内容扣 3 分，扣完为止；每实施方案有一项要求的方案内容有一处错误的(错误是指：对同一问题前后表述矛盾的，或逻辑错误的，或缺少关键节点，或涉及的规范及标准错误，或表述内容不完整，或不利于项目实施、不可能实现的情形等任意一种情形)，一处扣 0.5 分，扣完为止；每有一项要求的方案内容有一处描述不切合项目实际的，一处扣 1 分，扣完为止。不提供方案的不得分。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质量（完成时间、安全、环保）保障措施及方案</w:t>
            </w:r>
          </w:p>
        </w:tc>
        <w:tc>
          <w:tcPr>
            <w:tcW w:type="dxa" w:w="2492"/>
          </w:tcPr>
          <w:p>
            <w:pPr>
              <w:pStyle w:val="null3"/>
            </w:pPr>
            <w:r>
              <w:rPr>
                <w:rFonts w:ascii="仿宋_GB2312" w:hAnsi="仿宋_GB2312" w:cs="仿宋_GB2312" w:eastAsia="仿宋_GB2312"/>
              </w:rPr>
              <w:t>包括但不限于以下内容1.提供项目进度保障措施方案，确保培训有序推进；2.参照干部教育培训相关规定提供对应的住宿方案和用餐方案；3.提供完备的应急预案及应对措施（包括但不限于安全应急预案、重大活动和特殊时期消杀等）。评审专家结合实施方案的完善程度及针对性、实用性和可操作性等因素进行综合评价。 前述要求的方案内容均有描述且符合本项目要求的得12分；每缺少一项要求的方案内容扣4 分，扣完为止；每实施方案有一项要求的方案内容有一处错误的(错误是指：对同一问题前后表述矛盾的，或逻辑错误的，或缺少关键节点，或涉及的规范及标准错误，或表述内容不完整，或不利于项目实施、不可能实现的情形等任意一种情形)，一处扣 0.5 分，扣完为止；每有一项要求的方案内容有一处描述不切合项目实际的，一处扣 1 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具有科学、合理、可行的保密措施，根据措施的完整性、可操作性等内容，按其响应程度自主赋分：前述要求的方案内容均有描述且符合本项目要求的得4分；每缺少一项要求的方案内容扣1分，扣完为止；每实施方案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项目完成（服务期满）后的服务承诺</w:t>
            </w:r>
          </w:p>
        </w:tc>
        <w:tc>
          <w:tcPr>
            <w:tcW w:type="dxa" w:w="2492"/>
          </w:tcPr>
          <w:p>
            <w:pPr>
              <w:pStyle w:val="null3"/>
            </w:pPr>
            <w:r>
              <w:rPr>
                <w:rFonts w:ascii="仿宋_GB2312" w:hAnsi="仿宋_GB2312" w:cs="仿宋_GB2312" w:eastAsia="仿宋_GB2312"/>
              </w:rPr>
              <w:t>供应商承诺以下全部三项的得4分，否则不得分。1.在每期项目完成后向每位参训人员发放调查问卷并及时汇总评分情况，协助做好项目质量监督；2.在每期项目完成后负责收集整理参加人员提交的心得体会及总结报告；3.在全年项目完成后，按照采购方需求编印心得汇编等资料。证明材料：要求提供承诺（格式自定）作为得分依据，未提供承诺或承诺内容不满足要求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硬件设施</w:t>
            </w:r>
          </w:p>
        </w:tc>
        <w:tc>
          <w:tcPr>
            <w:tcW w:type="dxa" w:w="2492"/>
          </w:tcPr>
          <w:p>
            <w:pPr>
              <w:pStyle w:val="null3"/>
            </w:pPr>
            <w:r>
              <w:rPr>
                <w:rFonts w:ascii="仿宋_GB2312" w:hAnsi="仿宋_GB2312" w:cs="仿宋_GB2312" w:eastAsia="仿宋_GB2312"/>
              </w:rPr>
              <w:t>针对本项目拟配备的硬件设施（包含但不限于培训场所、多媒体设施、住宿环境、餐厅环境、取暖及降温设施等），按其响应程度自主赋分：前述要求的方案内容均有描述且符合本项目要求的得10分；每缺少一项要求的方案内容扣 2 分，扣完为止；每实施方案有一项要求的方案内容有一处错误的(错误是指：对同一问题前后表述矛盾的，或逻辑错误的，或缺少关键节点，或涉及的规范及标准错误，或表述内容不完整，或不利于项目实施、不可能实现的情形等任意一种情形)，一处扣 0.5 分，扣完为止；每有一项要求的方案内容有一处描述不切合项目实际的，一处扣 1 分，扣完为止。不提供方案的不得分。评审依据：提供图片等相关证明材料，仅文字说明的不得分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拟安排的项目主要团队成员</w:t>
            </w:r>
          </w:p>
        </w:tc>
        <w:tc>
          <w:tcPr>
            <w:tcW w:type="dxa" w:w="2492"/>
          </w:tcPr>
          <w:p>
            <w:pPr>
              <w:pStyle w:val="null3"/>
            </w:pPr>
            <w:r>
              <w:rPr>
                <w:rFonts w:ascii="仿宋_GB2312" w:hAnsi="仿宋_GB2312" w:cs="仿宋_GB2312" w:eastAsia="仿宋_GB2312"/>
              </w:rPr>
              <w:t>拟安排项目主要团队成员为供应商本单位员工，否则该人员情况不计分。1.团队成员数量（提供人员列表；不包含项目负责人）：1）成员总人数15人或以上得3分； 2）总人数10人或以上，15人以下得2分；3）总人数8人或以上，10人以下得1分； 4）其他不得分。2.团队成员学历（提供证书）1）成员中有10人及以上有硕士研究生（或以上）学历，得3分；2）有5至9名人具有硕士研究生（或以上）学历，得2分；3）有1至4人具有硕士研究生（或以上）学历，得1分；4）其他不得分。3、团队成员职称（提供职称） 1）成员中有8人以上有高级职称，得4分；2）有4至7名人具有高级职称，得3分；3）有1至3人具有高级职称，得2分； 4）其他不得分。备注：同一人员满足多项要求的，可重复计分。（二）评分依据：1.要求提供劳动合同及近3个月社保证明资料作为得分依据。 2.以上资料均要求提供扫描件（或官方网站截图）。评分中出现无证明资料或专家无法凭所提供资料判断是否得分的情况，一律作不得分处理。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拟安排的项目负责人情况（仅限一人）</w:t>
            </w:r>
          </w:p>
        </w:tc>
        <w:tc>
          <w:tcPr>
            <w:tcW w:type="dxa" w:w="2492"/>
          </w:tcPr>
          <w:p>
            <w:pPr>
              <w:pStyle w:val="null3"/>
            </w:pPr>
            <w:r>
              <w:rPr>
                <w:rFonts w:ascii="仿宋_GB2312" w:hAnsi="仿宋_GB2312" w:cs="仿宋_GB2312" w:eastAsia="仿宋_GB2312"/>
              </w:rPr>
              <w:t>拟安排项目负责人为供应商单位员工，否则本项不得分，在此基础上： 1.拟安排的项目负责人具有人社部门颁发的高级或以上职称得3分，中级职称得1分； 2.拟安排的项目负责人具有博士研究生学历的得3分，硕士研究生学历的得2分，本科及以下学历得1分； 3.拟安排的项目负责人具有机关事业单位教育培训经验，得2分，只具有机关事业单位教育培训经验或只具有国际化项目管理经验得1分，无相关经验不得分。 （二）评分依据： 1.要求提供劳动合同及近3个月社保证明资料作为得分依据。 2.如涉及考察人员工作经验，要求提供项目合同关键信息作为得分依据，通过合同关键信息无法判断是否得分的，还须同时提供合同甲方出具的证明文件。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同类项目业绩情况</w:t>
            </w:r>
          </w:p>
        </w:tc>
        <w:tc>
          <w:tcPr>
            <w:tcW w:type="dxa" w:w="2492"/>
          </w:tcPr>
          <w:p>
            <w:pPr>
              <w:pStyle w:val="null3"/>
            </w:pPr>
            <w:r>
              <w:rPr>
                <w:rFonts w:ascii="仿宋_GB2312" w:hAnsi="仿宋_GB2312" w:cs="仿宋_GB2312" w:eastAsia="仿宋_GB2312"/>
              </w:rPr>
              <w:t>供应商近三年（2023年1月至今）具有类似项目业绩，每提供一份计2分，满分8分。 评审依据：提供供应商加盖公章的合同协议书复印件，以合同签订时间为准.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满足磋商文件要求且评审价格最低的投标总报价为评标基准价，其价格分为满分。其他供应商的价格分统一按照下列公式计算：投标总报价得分=（评标基准价/投标总报价）× 价格分值 本项目非专门面向中小企业采购，供应商如果为小微企业、或监狱企业、或残疾人福利企业，则供应商的磋商总报价扣除10%后参与评审。 注意：本项目所属行业为“租赁和商务服务”，请供应商依据“关于印发中小企业划型标准规定的通知(工信部联企业〔2011〕300号)”行业划分规模及标准，结合企业自身情况按需提供相关声明函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详见附件：合同模板定(1).docx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