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版本号：YMD-2026047F20260429001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招生就业服务项目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YMD-2026047F</w:t>
      </w:r>
      <w:r>
        <w:br/>
      </w:r>
      <w:r>
        <w:br/>
      </w:r>
      <w:r>
        <w:br/>
      </w:r>
    </w:p>
    <w:p>
      <w:pPr>
        <w:pStyle w:val="null3"/>
        <w:jc w:val="center"/>
        <w:outlineLvl w:val="2"/>
      </w:pPr>
      <w:r>
        <w:rPr>
          <w:rFonts w:ascii="仿宋_GB2312" w:hAnsi="仿宋_GB2312" w:cs="仿宋_GB2312" w:eastAsia="仿宋_GB2312"/>
          <w:sz w:val="28"/>
          <w:b/>
        </w:rPr>
        <w:t>西安职业技术学院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西安职业技术学院</w:t>
      </w:r>
      <w:r>
        <w:rPr>
          <w:rFonts w:ascii="仿宋_GB2312" w:hAnsi="仿宋_GB2312" w:cs="仿宋_GB2312" w:eastAsia="仿宋_GB2312"/>
        </w:rPr>
        <w:t>委托，拟对</w:t>
      </w:r>
      <w:r>
        <w:rPr>
          <w:rFonts w:ascii="仿宋_GB2312" w:hAnsi="仿宋_GB2312" w:cs="仿宋_GB2312" w:eastAsia="仿宋_GB2312"/>
        </w:rPr>
        <w:t>招生就业服务项目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YMD-2026047F</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招生就业服务项目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做好我校2026年招生就业服务工作，招生办拟通过教育类网站、微信公众平台、招生政策宣传类刊物、深入省内生源中学等形式开展招生宣传，设计制作招生就业宣传品，利用高中信息平台在招生就业季轮番推送学校招生就业信息等。通过招生就业宣传传播校园文化、提升学校知名度、扩大学校影响力，努力完成2026年招生目标任务，促进毕业生高质量就业。</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采购包1（招生宣传服务项目）：属于专门面向中小企业采购。</w:t>
      </w:r>
    </w:p>
    <w:p>
      <w:pPr>
        <w:pStyle w:val="null3"/>
      </w:pPr>
      <w:r>
        <w:rPr>
          <w:rFonts w:ascii="仿宋_GB2312" w:hAnsi="仿宋_GB2312" w:cs="仿宋_GB2312" w:eastAsia="仿宋_GB2312"/>
        </w:rPr>
        <w:t>采购包2（高中信息平台宣传服务项目）：属于专门面向中小企业采购。</w:t>
      </w:r>
    </w:p>
    <w:p>
      <w:pPr>
        <w:pStyle w:val="null3"/>
      </w:pPr>
      <w:r>
        <w:rPr>
          <w:rFonts w:ascii="仿宋_GB2312" w:hAnsi="仿宋_GB2312" w:cs="仿宋_GB2312" w:eastAsia="仿宋_GB2312"/>
        </w:rPr>
        <w:t>采购包3（招生就业宣传品设计制作项目）：属于专门面向中小企业采购。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2、财务状况：提供2024年度或2025年度经审计的财务会计报告或提交投标文件截止时间三个月内其基本账户开户银行出具的资信证明（附基本存款账户信息）。</w:t>
      </w:r>
    </w:p>
    <w:p>
      <w:pPr>
        <w:pStyle w:val="null3"/>
      </w:pPr>
      <w:r>
        <w:rPr>
          <w:rFonts w:ascii="仿宋_GB2312" w:hAnsi="仿宋_GB2312" w:cs="仿宋_GB2312" w:eastAsia="仿宋_GB2312"/>
        </w:rPr>
        <w:t>3、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pPr>
        <w:pStyle w:val="null3"/>
      </w:pPr>
      <w:r>
        <w:rPr>
          <w:rFonts w:ascii="仿宋_GB2312" w:hAnsi="仿宋_GB2312" w:cs="仿宋_GB2312" w:eastAsia="仿宋_GB2312"/>
        </w:rPr>
        <w:t>5、无重大违法记录声明：参加本次政府采购活动前3年内在经营活动中没有重大违法记录，以及未被列入失信被执行人、重大税收违法案件当事人名单、政府采购严重违法失信行为记录名单的书面声明。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6、提供具有履行的专业技术承诺：供应商须提供具有履行合同所必需的设备和专业技术能力的承诺。</w:t>
      </w:r>
    </w:p>
    <w:p>
      <w:pPr>
        <w:pStyle w:val="null3"/>
      </w:pPr>
      <w:r>
        <w:rPr>
          <w:rFonts w:ascii="仿宋_GB2312" w:hAnsi="仿宋_GB2312" w:cs="仿宋_GB2312" w:eastAsia="仿宋_GB2312"/>
        </w:rPr>
        <w:t>7、法定代表人（主要负责人）委托授权书\身份证明：供应商应授权合法的人员参与磋商全过程，其中法定代表人直接磋商，须附法定代表人身份证明书。法定代表人授权代表参加磋商的，须附法定代表人授权书。</w:t>
      </w:r>
    </w:p>
    <w:p>
      <w:pPr>
        <w:pStyle w:val="null3"/>
      </w:pPr>
      <w:r>
        <w:rPr>
          <w:rFonts w:ascii="仿宋_GB2312" w:hAnsi="仿宋_GB2312" w:cs="仿宋_GB2312" w:eastAsia="仿宋_GB2312"/>
        </w:rPr>
        <w:t>8、供应商信用查询：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pPr>
        <w:pStyle w:val="null3"/>
      </w:pPr>
      <w:r>
        <w:rPr>
          <w:rFonts w:ascii="仿宋_GB2312" w:hAnsi="仿宋_GB2312" w:cs="仿宋_GB2312" w:eastAsia="仿宋_GB2312"/>
        </w:rPr>
        <w:t>9、联合体磋商：本项目不接受联合体磋商（提供相应承诺）;供应商需在项目电子化交易系统中按要求上传相应证明文件并进行电子签章。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2、财务状况：提供2024年度或2025年度经审计的财务会计报告或提交投标文件截止时间三个月内其基本账户开户银行出具的资信证明（附基本存款账户信息）。</w:t>
      </w:r>
    </w:p>
    <w:p>
      <w:pPr>
        <w:pStyle w:val="null3"/>
      </w:pPr>
      <w:r>
        <w:rPr>
          <w:rFonts w:ascii="仿宋_GB2312" w:hAnsi="仿宋_GB2312" w:cs="仿宋_GB2312" w:eastAsia="仿宋_GB2312"/>
        </w:rPr>
        <w:t>3、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pPr>
        <w:pStyle w:val="null3"/>
      </w:pPr>
      <w:r>
        <w:rPr>
          <w:rFonts w:ascii="仿宋_GB2312" w:hAnsi="仿宋_GB2312" w:cs="仿宋_GB2312" w:eastAsia="仿宋_GB2312"/>
        </w:rPr>
        <w:t>5、无重大违法记录声明：参加本次政府采购活动前3年内在经营活动中没有重大违法记录，以及未被列入失信被执行人、重大税收违法案件当事人名单、政府采购严重违法失信行为记录名单的书面声明。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6、提供具有履行的专业技术承诺：供应商须提供具有履行合同所必需的设备和专业技术能力的承诺。</w:t>
      </w:r>
    </w:p>
    <w:p>
      <w:pPr>
        <w:pStyle w:val="null3"/>
      </w:pPr>
      <w:r>
        <w:rPr>
          <w:rFonts w:ascii="仿宋_GB2312" w:hAnsi="仿宋_GB2312" w:cs="仿宋_GB2312" w:eastAsia="仿宋_GB2312"/>
        </w:rPr>
        <w:t>7、法定代表人（主要负责人）委托授权书\身份证明：供应商应授权合法的人员参与磋商全过程，其中法定代表人直接磋商，须附法定代表人身份证明书。法定代表人授权代表参加磋商的，须附法定代表人授权书。</w:t>
      </w:r>
    </w:p>
    <w:p>
      <w:pPr>
        <w:pStyle w:val="null3"/>
      </w:pPr>
      <w:r>
        <w:rPr>
          <w:rFonts w:ascii="仿宋_GB2312" w:hAnsi="仿宋_GB2312" w:cs="仿宋_GB2312" w:eastAsia="仿宋_GB2312"/>
        </w:rPr>
        <w:t>8、供应商信用查询：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pPr>
        <w:pStyle w:val="null3"/>
      </w:pPr>
      <w:r>
        <w:rPr>
          <w:rFonts w:ascii="仿宋_GB2312" w:hAnsi="仿宋_GB2312" w:cs="仿宋_GB2312" w:eastAsia="仿宋_GB2312"/>
        </w:rPr>
        <w:t>9、联合体磋商：本项目不接受联合体磋商（提供相应承诺）;供应商需在项目电子化交易系统中按要求上传相应证明文件并进行电子签章。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1、有效的主体资格证明：具有独立承担民事责任能力的法人、其他组织或自然人，提供合法有效的统一社会信用代码营业执照（事业单位提供事业单位法人证书，自然人应提供身份证）。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2、财务状况：提供2024年度或2025年度经审计的财务会计报告或提交投标文件截止时间三个月内其基本账户开户银行出具的资信证明（附基本存款账户信息）。</w:t>
      </w:r>
    </w:p>
    <w:p>
      <w:pPr>
        <w:pStyle w:val="null3"/>
      </w:pPr>
      <w:r>
        <w:rPr>
          <w:rFonts w:ascii="仿宋_GB2312" w:hAnsi="仿宋_GB2312" w:cs="仿宋_GB2312" w:eastAsia="仿宋_GB2312"/>
        </w:rPr>
        <w:t>3、社会保障资金缴纳证明：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pPr>
        <w:pStyle w:val="null3"/>
      </w:pPr>
      <w:r>
        <w:rPr>
          <w:rFonts w:ascii="仿宋_GB2312" w:hAnsi="仿宋_GB2312" w:cs="仿宋_GB2312" w:eastAsia="仿宋_GB2312"/>
        </w:rPr>
        <w:t>4、税收缴纳证明：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p>
      <w:pPr>
        <w:pStyle w:val="null3"/>
      </w:pPr>
      <w:r>
        <w:rPr>
          <w:rFonts w:ascii="仿宋_GB2312" w:hAnsi="仿宋_GB2312" w:cs="仿宋_GB2312" w:eastAsia="仿宋_GB2312"/>
        </w:rPr>
        <w:t>5、无重大违法记录声明：参加本次政府采购活动前3年内在经营活动中没有重大违法记录，以及未被列入失信被执行人、重大税收违法案件当事人名单、政府采购严重违法失信行为记录名单的书面声明。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6、提供具有履行的专业技术承诺：供应商须提供具有履行合同所必需的设备和专业技术能力的承诺。</w:t>
      </w:r>
    </w:p>
    <w:p>
      <w:pPr>
        <w:pStyle w:val="null3"/>
      </w:pPr>
      <w:r>
        <w:rPr>
          <w:rFonts w:ascii="仿宋_GB2312" w:hAnsi="仿宋_GB2312" w:cs="仿宋_GB2312" w:eastAsia="仿宋_GB2312"/>
        </w:rPr>
        <w:t>7、法定代表人（主要负责人）委托授权书\身份证明：供应商应授权合法的人员参与磋商全过程，其中法定代表人直接磋商，须附法定代表人身份证明书。法定代表人授权代表参加磋商的，须附法定代表人授权书。</w:t>
      </w:r>
    </w:p>
    <w:p>
      <w:pPr>
        <w:pStyle w:val="null3"/>
      </w:pPr>
      <w:r>
        <w:rPr>
          <w:rFonts w:ascii="仿宋_GB2312" w:hAnsi="仿宋_GB2312" w:cs="仿宋_GB2312" w:eastAsia="仿宋_GB2312"/>
        </w:rPr>
        <w:t>8、供应商信用查询：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p>
      <w:pPr>
        <w:pStyle w:val="null3"/>
      </w:pPr>
      <w:r>
        <w:rPr>
          <w:rFonts w:ascii="仿宋_GB2312" w:hAnsi="仿宋_GB2312" w:cs="仿宋_GB2312" w:eastAsia="仿宋_GB2312"/>
        </w:rPr>
        <w:t>9、联合体磋商：本项目不接受联合体磋商（提供相应承诺）;供应商需在项目电子化交易系统中按要求上传相应证明文件并进行电子签章。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雁塔区鱼斗路251号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张晓光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17792968382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王彩玲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18182603963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p>
          <w:p>
            <w:pPr>
              <w:pStyle w:val="null3"/>
            </w:pPr>
            <w:r>
              <w:rPr>
                <w:rFonts w:ascii="仿宋_GB2312" w:hAnsi="仿宋_GB2312" w:cs="仿宋_GB2312" w:eastAsia="仿宋_GB2312"/>
              </w:rPr>
              <w:t>采购包2：250,000.00元</w:t>
            </w:r>
          </w:p>
          <w:p>
            <w:pPr>
              <w:pStyle w:val="null3"/>
            </w:pPr>
            <w:r>
              <w:rPr>
                <w:rFonts w:ascii="仿宋_GB2312" w:hAnsi="仿宋_GB2312" w:cs="仿宋_GB2312" w:eastAsia="仿宋_GB2312"/>
              </w:rPr>
              <w:t>采购包3：300,000.00元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由成交供应商在领取成交通知书前，一次性向采购代理机构支付成交服务费，服务费由采购人与采购代理机构约定：按照《招标代理服务收费管理暂行办法》（计价格【2002】1980号）代理服务收费标准进行收费 账户名称：永明项目管理有限公司 开户银行：中信银行陕西自贸试验区西安科技支行 账 号：7252410182600044355 转账事由：项目编号 代理服务费 咨询电话：18182603963</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西安职业技术学院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西安职业技术学院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联系人：王彩玲</w:t>
      </w:r>
    </w:p>
    <w:p>
      <w:pPr>
        <w:pStyle w:val="null3"/>
      </w:pPr>
      <w:r>
        <w:rPr>
          <w:rFonts w:ascii="仿宋_GB2312" w:hAnsi="仿宋_GB2312" w:cs="仿宋_GB2312" w:eastAsia="仿宋_GB2312"/>
        </w:rPr>
        <w:t>联系电话：18182603963</w:t>
      </w:r>
    </w:p>
    <w:p>
      <w:pPr>
        <w:pStyle w:val="null3"/>
      </w:pPr>
      <w:r>
        <w:rPr>
          <w:rFonts w:ascii="仿宋_GB2312" w:hAnsi="仿宋_GB2312" w:cs="仿宋_GB2312" w:eastAsia="仿宋_GB2312"/>
        </w:rPr>
        <w:t>地址：陕西省西安市雁塔区旺座曲江M座25楼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做好我校2026年招生就业服务工作，招生办拟通过教育类网站、微信公众平台、招生政策宣传类刊物、深入省内生源中学等形式开展招生宣传，设计制作招生就业宣传品，利用高中信息平台在招生就业季轮番推送学校招生就业信息等。通过招生就业宣传传播校园文化、提升学校知名度、扩大学校影响力，努力完成2026年招生目标任务，促进毕业生高质量就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招生宣传服务项目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高中信息平台宣传服务项目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招生就业宣传品设计制作项目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标的名称：招生宣传服务项目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为做好我校2026年招生就业服务工作，招生办拟通过教育类网站、微信公众平台、招生政策宣传类刊物、深入省内生源中学等形式开展招生宣传，设计制作招生就业宣传品，利用高中信息平台在招生就业季轮番推送学校招生就业信息等。通过招生就业宣传传播校园文化、提升学校知名度、扩大学校影响力，努力完成2026年招生目标任务，促进毕业生高质量就业。</w:t>
            </w:r>
          </w:p>
          <w:p>
            <w:pPr>
              <w:pStyle w:val="null3"/>
              <w:jc w:val="both"/>
            </w:pPr>
            <w:r>
              <w:rPr>
                <w:rFonts w:ascii="仿宋_GB2312" w:hAnsi="仿宋_GB2312" w:cs="仿宋_GB2312" w:eastAsia="仿宋_GB2312"/>
                <w:sz w:val="21"/>
                <w:b/>
                <w:color w:val="000000"/>
              </w:rPr>
              <w:t>二、服务内容</w:t>
            </w:r>
          </w:p>
          <w:p>
            <w:pPr>
              <w:pStyle w:val="null3"/>
              <w:ind w:firstLine="420"/>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通过陕西招生考试信息网、陕西普通高等教育信息网、陕西分类考试招生信息网等招生类网站发布学校LOGO图片链接，服务期限一年，依托其微信、微博等公众平台在招生季轮番推送学校招生信息。</w:t>
            </w:r>
          </w:p>
          <w:p>
            <w:pPr>
              <w:pStyle w:val="null3"/>
              <w:ind w:firstLine="420"/>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在《2026年陕西省普通高校招生考试院校介绍》《2026年普通高校在陕招生计划汇编》（物理类/历史类）等招生政策宣传类刊物中刊登我校招生信息。</w:t>
            </w:r>
          </w:p>
          <w:p>
            <w:pPr>
              <w:pStyle w:val="null3"/>
              <w:ind w:firstLine="420"/>
              <w:jc w:val="both"/>
            </w:pPr>
            <w:r>
              <w:rPr>
                <w:rFonts w:ascii="仿宋_GB2312" w:hAnsi="仿宋_GB2312" w:cs="仿宋_GB2312" w:eastAsia="仿宋_GB2312"/>
                <w:sz w:val="21"/>
                <w:color w:val="000000"/>
              </w:rPr>
              <w:t>3.</w:t>
            </w:r>
            <w:r>
              <w:rPr>
                <w:rFonts w:ascii="仿宋_GB2312" w:hAnsi="仿宋_GB2312" w:cs="仿宋_GB2312" w:eastAsia="仿宋_GB2312"/>
                <w:sz w:val="21"/>
                <w:color w:val="000000"/>
              </w:rPr>
              <w:t>参加进校园宣讲咨询活动。走进省内不少于40所高中、中职学校，通过宣讲会、设点咨询等方式，与考生面对面交流，引导考生报考我校。</w:t>
            </w:r>
          </w:p>
          <w:p>
            <w:pPr>
              <w:pStyle w:val="null3"/>
              <w:ind w:firstLine="420"/>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做好招生管理系统服务，服务期限1年。</w:t>
            </w:r>
          </w:p>
          <w:p>
            <w:pPr>
              <w:pStyle w:val="null3"/>
              <w:ind w:firstLine="420"/>
              <w:jc w:val="both"/>
            </w:pPr>
            <w:r>
              <w:rPr>
                <w:rFonts w:ascii="仿宋_GB2312" w:hAnsi="仿宋_GB2312" w:cs="仿宋_GB2312" w:eastAsia="仿宋_GB2312"/>
                <w:sz w:val="21"/>
                <w:color w:val="000000"/>
              </w:rPr>
              <w:t>5.</w:t>
            </w:r>
            <w:r>
              <w:rPr>
                <w:rFonts w:ascii="仿宋_GB2312" w:hAnsi="仿宋_GB2312" w:cs="仿宋_GB2312" w:eastAsia="仿宋_GB2312"/>
                <w:sz w:val="21"/>
                <w:color w:val="000000"/>
              </w:rPr>
              <w:t>选择不少于2个省外招生考试相关网站发布我校LOGO图片链接，服务期限一年。</w:t>
            </w:r>
          </w:p>
          <w:p>
            <w:pPr>
              <w:pStyle w:val="null3"/>
              <w:ind w:firstLine="420"/>
              <w:jc w:val="both"/>
            </w:pPr>
            <w:r>
              <w:rPr>
                <w:rFonts w:ascii="仿宋_GB2312" w:hAnsi="仿宋_GB2312" w:cs="仿宋_GB2312" w:eastAsia="仿宋_GB2312"/>
                <w:sz w:val="21"/>
                <w:color w:val="000000"/>
              </w:rPr>
              <w:t>6.</w:t>
            </w:r>
            <w:r>
              <w:rPr>
                <w:rFonts w:ascii="仿宋_GB2312" w:hAnsi="仿宋_GB2312" w:cs="仿宋_GB2312" w:eastAsia="仿宋_GB2312"/>
                <w:sz w:val="21"/>
                <w:color w:val="000000"/>
              </w:rPr>
              <w:t>采编2分钟左右电视报道视频，在陕西电视台二套《都市快报》节目播出。</w:t>
            </w:r>
          </w:p>
          <w:p>
            <w:pPr>
              <w:pStyle w:val="null3"/>
              <w:ind w:firstLine="420"/>
              <w:jc w:val="both"/>
            </w:pPr>
            <w:r>
              <w:rPr>
                <w:rFonts w:ascii="仿宋_GB2312" w:hAnsi="仿宋_GB2312" w:cs="仿宋_GB2312" w:eastAsia="仿宋_GB2312"/>
                <w:sz w:val="21"/>
                <w:color w:val="000000"/>
              </w:rPr>
              <w:t>7.</w:t>
            </w:r>
            <w:r>
              <w:rPr>
                <w:rFonts w:ascii="仿宋_GB2312" w:hAnsi="仿宋_GB2312" w:cs="仿宋_GB2312" w:eastAsia="仿宋_GB2312"/>
                <w:sz w:val="21"/>
                <w:color w:val="000000"/>
              </w:rPr>
              <w:t>拍摄制作招生就业宣传小视频不少于20个，其中时长1分钟左右12个，时长3分钟左右8个。</w:t>
            </w:r>
          </w:p>
          <w:p>
            <w:pPr>
              <w:pStyle w:val="null3"/>
              <w:jc w:val="both"/>
            </w:pPr>
            <w:r>
              <w:rPr>
                <w:rFonts w:ascii="仿宋_GB2312" w:hAnsi="仿宋_GB2312" w:cs="仿宋_GB2312" w:eastAsia="仿宋_GB2312"/>
                <w:sz w:val="21"/>
                <w:b/>
                <w:color w:val="000000"/>
              </w:rPr>
              <w:t>三、技术要求</w:t>
            </w:r>
            <w:r>
              <w:rPr>
                <w:rFonts w:ascii="仿宋_GB2312" w:hAnsi="仿宋_GB2312" w:cs="仿宋_GB2312" w:eastAsia="仿宋_GB2312"/>
                <w:sz w:val="21"/>
                <w:color w:val="000000"/>
              </w:rPr>
              <w:t>（如有，一般适合于技术服务项目）</w:t>
            </w:r>
          </w:p>
          <w:p>
            <w:pPr>
              <w:pStyle w:val="null3"/>
              <w:jc w:val="both"/>
            </w:pPr>
            <w:r>
              <w:rPr>
                <w:rFonts w:ascii="仿宋_GB2312" w:hAnsi="仿宋_GB2312" w:cs="仿宋_GB2312" w:eastAsia="仿宋_GB2312"/>
                <w:sz w:val="21"/>
                <w:b/>
                <w:color w:val="000000"/>
              </w:rPr>
              <w:t>四、服务要求</w:t>
            </w:r>
            <w:r>
              <w:rPr>
                <w:rFonts w:ascii="仿宋_GB2312" w:hAnsi="仿宋_GB2312" w:cs="仿宋_GB2312" w:eastAsia="仿宋_GB2312"/>
                <w:sz w:val="21"/>
                <w:color w:val="000000"/>
              </w:rPr>
              <w:t>（如对人员配置、专业设备、服务标准等）</w:t>
            </w:r>
          </w:p>
          <w:p>
            <w:pPr>
              <w:pStyle w:val="null3"/>
              <w:ind w:firstLine="420"/>
              <w:jc w:val="both"/>
            </w:pPr>
            <w:r>
              <w:rPr>
                <w:rFonts w:ascii="仿宋_GB2312" w:hAnsi="仿宋_GB2312" w:cs="仿宋_GB2312" w:eastAsia="仿宋_GB2312"/>
                <w:sz w:val="21"/>
                <w:color w:val="000000"/>
              </w:rPr>
              <w:t>服务商须熟悉国家教育考试招生政策、陕西省教育考试招生相关规定及高校就业政策，在招生就业季安排专人提供各项服务。</w:t>
            </w:r>
          </w:p>
          <w:p>
            <w:pPr>
              <w:pStyle w:val="null3"/>
              <w:jc w:val="both"/>
            </w:pPr>
            <w:r>
              <w:rPr>
                <w:rFonts w:ascii="仿宋_GB2312" w:hAnsi="仿宋_GB2312" w:cs="仿宋_GB2312" w:eastAsia="仿宋_GB2312"/>
                <w:sz w:val="21"/>
                <w:b/>
                <w:color w:val="000000"/>
              </w:rPr>
              <w:t>五、商务要求</w:t>
            </w:r>
          </w:p>
          <w:p>
            <w:pPr>
              <w:pStyle w:val="null3"/>
              <w:jc w:val="both"/>
            </w:pPr>
            <w:r>
              <w:rPr>
                <w:rFonts w:ascii="仿宋_GB2312" w:hAnsi="仿宋_GB2312" w:cs="仿宋_GB2312" w:eastAsia="仿宋_GB2312"/>
                <w:sz w:val="21"/>
                <w:color w:val="000000"/>
              </w:rPr>
              <w:t>（一）服务期限</w:t>
            </w:r>
          </w:p>
          <w:p>
            <w:pPr>
              <w:pStyle w:val="null3"/>
              <w:ind w:firstLine="420"/>
              <w:jc w:val="both"/>
            </w:pPr>
            <w:r>
              <w:rPr>
                <w:rFonts w:ascii="仿宋_GB2312" w:hAnsi="仿宋_GB2312" w:cs="仿宋_GB2312" w:eastAsia="仿宋_GB2312"/>
                <w:sz w:val="21"/>
                <w:color w:val="000000"/>
              </w:rPr>
              <w:t>自合同签订之日起至2026年8月31日前完成。</w:t>
            </w:r>
          </w:p>
          <w:p>
            <w:pPr>
              <w:pStyle w:val="null3"/>
              <w:jc w:val="both"/>
            </w:pPr>
            <w:r>
              <w:rPr>
                <w:rFonts w:ascii="仿宋_GB2312" w:hAnsi="仿宋_GB2312" w:cs="仿宋_GB2312" w:eastAsia="仿宋_GB2312"/>
                <w:sz w:val="21"/>
                <w:color w:val="000000"/>
              </w:rPr>
              <w:t>（二）款项结算</w:t>
            </w:r>
          </w:p>
          <w:p>
            <w:pPr>
              <w:pStyle w:val="null3"/>
            </w:pPr>
            <w:r>
              <w:rPr>
                <w:rFonts w:ascii="仿宋_GB2312" w:hAnsi="仿宋_GB2312" w:cs="仿宋_GB2312" w:eastAsia="仿宋_GB2312"/>
                <w:sz w:val="21"/>
                <w:color w:val="000000"/>
              </w:rPr>
              <w:t xml:space="preserve">  在完成合同签订后，甲方需要支付预付款项，为总金额的40%；在完成服务并通过甲方验收后一次性支付剩余款项，为总金额的60%。</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标的名称：高中信息平台宣传服务项目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为做好我校2026年招生就业服务工作，招生办拟通过教育类网站、微信公众平台、招生政策宣传类刊物、深入省内生源中学等形式开展招生宣传，设计制作招生就业宣传品，利用高中信息平台在招生就业季轮番推送学校招生就业信息等。通过招生就业宣传传播校园文化、提升学校知名度、扩大学校影响力，努力完成2026年招生目标任务，促进毕业生高质量就业。</w:t>
            </w:r>
          </w:p>
          <w:p>
            <w:pPr>
              <w:pStyle w:val="null3"/>
              <w:jc w:val="both"/>
            </w:pPr>
            <w:r>
              <w:rPr>
                <w:rFonts w:ascii="仿宋_GB2312" w:hAnsi="仿宋_GB2312" w:cs="仿宋_GB2312" w:eastAsia="仿宋_GB2312"/>
                <w:sz w:val="21"/>
                <w:b/>
                <w:color w:val="000000"/>
              </w:rPr>
              <w:t>二、服务内容</w:t>
            </w:r>
          </w:p>
          <w:p>
            <w:pPr>
              <w:pStyle w:val="null3"/>
              <w:jc w:val="both"/>
            </w:pPr>
            <w:r>
              <w:rPr>
                <w:rFonts w:ascii="仿宋_GB2312" w:hAnsi="仿宋_GB2312" w:cs="仿宋_GB2312" w:eastAsia="仿宋_GB2312"/>
                <w:sz w:val="21"/>
                <w:color w:val="000000"/>
              </w:rPr>
              <w:t>在全省不少于160所高中及中职学校全方位宣传学校办学优势、专业特色及就业情况等招生就业信息，具体如下：</w:t>
            </w:r>
          </w:p>
          <w:p>
            <w:pPr>
              <w:pStyle w:val="null3"/>
              <w:jc w:val="both"/>
            </w:pPr>
            <w:r>
              <w:rPr>
                <w:rFonts w:ascii="仿宋_GB2312" w:hAnsi="仿宋_GB2312" w:cs="仿宋_GB2312" w:eastAsia="仿宋_GB2312"/>
                <w:sz w:val="21"/>
                <w:color w:val="000000"/>
              </w:rPr>
              <w:t>（1）广告形式：文本、图片、PPT、视频多形式宣传。</w:t>
            </w:r>
          </w:p>
          <w:p>
            <w:pPr>
              <w:pStyle w:val="null3"/>
              <w:jc w:val="both"/>
            </w:pPr>
            <w:r>
              <w:rPr>
                <w:rFonts w:ascii="仿宋_GB2312" w:hAnsi="仿宋_GB2312" w:cs="仿宋_GB2312" w:eastAsia="仿宋_GB2312"/>
                <w:sz w:val="21"/>
                <w:color w:val="000000"/>
              </w:rPr>
              <w:t>（2）广告时间为10秒轮播一次。</w:t>
            </w:r>
          </w:p>
          <w:p>
            <w:pPr>
              <w:pStyle w:val="null3"/>
              <w:jc w:val="both"/>
            </w:pPr>
            <w:r>
              <w:rPr>
                <w:rFonts w:ascii="仿宋_GB2312" w:hAnsi="仿宋_GB2312" w:cs="仿宋_GB2312" w:eastAsia="仿宋_GB2312"/>
                <w:sz w:val="21"/>
                <w:color w:val="000000"/>
              </w:rPr>
              <w:t>（3）每天按单张宣传图片计算，频次不低于500次。</w:t>
            </w:r>
          </w:p>
          <w:p>
            <w:pPr>
              <w:pStyle w:val="null3"/>
              <w:jc w:val="both"/>
            </w:pPr>
            <w:r>
              <w:rPr>
                <w:rFonts w:ascii="仿宋_GB2312" w:hAnsi="仿宋_GB2312" w:cs="仿宋_GB2312" w:eastAsia="仿宋_GB2312"/>
                <w:sz w:val="21"/>
                <w:color w:val="000000"/>
              </w:rPr>
              <w:t>（4）全屏幕播放每天不少于10次。</w:t>
            </w:r>
          </w:p>
          <w:p>
            <w:pPr>
              <w:pStyle w:val="null3"/>
              <w:jc w:val="both"/>
            </w:pPr>
            <w:r>
              <w:rPr>
                <w:rFonts w:ascii="仿宋_GB2312" w:hAnsi="仿宋_GB2312" w:cs="仿宋_GB2312" w:eastAsia="仿宋_GB2312"/>
                <w:sz w:val="21"/>
                <w:b/>
                <w:color w:val="000000"/>
              </w:rPr>
              <w:t>三、技术要求</w:t>
            </w:r>
            <w:r>
              <w:rPr>
                <w:rFonts w:ascii="仿宋_GB2312" w:hAnsi="仿宋_GB2312" w:cs="仿宋_GB2312" w:eastAsia="仿宋_GB2312"/>
                <w:sz w:val="21"/>
                <w:color w:val="000000"/>
              </w:rPr>
              <w:t>（如有，一般适合于技术服务项目）</w:t>
            </w:r>
          </w:p>
          <w:p>
            <w:pPr>
              <w:pStyle w:val="null3"/>
              <w:jc w:val="both"/>
            </w:pPr>
            <w:r>
              <w:rPr>
                <w:rFonts w:ascii="仿宋_GB2312" w:hAnsi="仿宋_GB2312" w:cs="仿宋_GB2312" w:eastAsia="仿宋_GB2312"/>
                <w:sz w:val="21"/>
                <w:b/>
                <w:color w:val="000000"/>
              </w:rPr>
              <w:t>四、服务要求</w:t>
            </w:r>
            <w:r>
              <w:rPr>
                <w:rFonts w:ascii="仿宋_GB2312" w:hAnsi="仿宋_GB2312" w:cs="仿宋_GB2312" w:eastAsia="仿宋_GB2312"/>
                <w:sz w:val="21"/>
                <w:color w:val="000000"/>
              </w:rPr>
              <w:t>（如对人员配置、专业设备、服务标准等）</w:t>
            </w:r>
          </w:p>
          <w:p>
            <w:pPr>
              <w:pStyle w:val="null3"/>
              <w:ind w:firstLine="420"/>
              <w:jc w:val="both"/>
            </w:pPr>
            <w:r>
              <w:rPr>
                <w:rFonts w:ascii="仿宋_GB2312" w:hAnsi="仿宋_GB2312" w:cs="仿宋_GB2312" w:eastAsia="仿宋_GB2312"/>
                <w:sz w:val="21"/>
                <w:color w:val="000000"/>
              </w:rPr>
              <w:t>服务商须熟悉国家教育考试招生政策、陕西省教育考试招生相关规定及高校就业政策，在招生就业季安排专人提供各项服务。</w:t>
            </w:r>
          </w:p>
          <w:p>
            <w:pPr>
              <w:pStyle w:val="null3"/>
              <w:jc w:val="both"/>
            </w:pPr>
            <w:r>
              <w:rPr>
                <w:rFonts w:ascii="仿宋_GB2312" w:hAnsi="仿宋_GB2312" w:cs="仿宋_GB2312" w:eastAsia="仿宋_GB2312"/>
                <w:sz w:val="21"/>
                <w:b/>
                <w:color w:val="000000"/>
              </w:rPr>
              <w:t>五、商务要求</w:t>
            </w:r>
          </w:p>
          <w:p>
            <w:pPr>
              <w:pStyle w:val="null3"/>
              <w:jc w:val="both"/>
            </w:pPr>
            <w:r>
              <w:rPr>
                <w:rFonts w:ascii="仿宋_GB2312" w:hAnsi="仿宋_GB2312" w:cs="仿宋_GB2312" w:eastAsia="仿宋_GB2312"/>
                <w:sz w:val="21"/>
                <w:color w:val="000000"/>
              </w:rPr>
              <w:t>（一）服务期限</w:t>
            </w:r>
          </w:p>
          <w:p>
            <w:pPr>
              <w:pStyle w:val="null3"/>
              <w:ind w:firstLine="420"/>
              <w:jc w:val="both"/>
            </w:pPr>
            <w:r>
              <w:rPr>
                <w:rFonts w:ascii="仿宋_GB2312" w:hAnsi="仿宋_GB2312" w:cs="仿宋_GB2312" w:eastAsia="仿宋_GB2312"/>
                <w:sz w:val="21"/>
                <w:color w:val="000000"/>
              </w:rPr>
              <w:t>自合同签订之日起至2026年8月31日前完成。</w:t>
            </w:r>
          </w:p>
          <w:p>
            <w:pPr>
              <w:pStyle w:val="null3"/>
              <w:jc w:val="both"/>
            </w:pPr>
            <w:r>
              <w:rPr>
                <w:rFonts w:ascii="仿宋_GB2312" w:hAnsi="仿宋_GB2312" w:cs="仿宋_GB2312" w:eastAsia="仿宋_GB2312"/>
                <w:sz w:val="21"/>
                <w:color w:val="000000"/>
              </w:rPr>
              <w:t>（二）款项结算</w:t>
            </w:r>
          </w:p>
          <w:p>
            <w:pPr>
              <w:pStyle w:val="null3"/>
            </w:pPr>
            <w:r>
              <w:rPr>
                <w:rFonts w:ascii="仿宋_GB2312" w:hAnsi="仿宋_GB2312" w:cs="仿宋_GB2312" w:eastAsia="仿宋_GB2312"/>
                <w:sz w:val="21"/>
                <w:color w:val="000000"/>
              </w:rPr>
              <w:t xml:space="preserve">  在完成合同签订后，甲方需要支付预付款项，为总金额的40%；在完成服务并通过甲方验收后一次性支付剩余款项，为总金额的60%。</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标的名称：招生就业宣传品设计制作项目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一、项目概况</w:t>
            </w:r>
          </w:p>
          <w:p>
            <w:pPr>
              <w:pStyle w:val="null3"/>
              <w:ind w:firstLine="420"/>
              <w:jc w:val="both"/>
            </w:pPr>
            <w:r>
              <w:rPr>
                <w:rFonts w:ascii="仿宋_GB2312" w:hAnsi="仿宋_GB2312" w:cs="仿宋_GB2312" w:eastAsia="仿宋_GB2312"/>
                <w:sz w:val="21"/>
                <w:color w:val="000000"/>
              </w:rPr>
              <w:t>为做好我校2026年招生就业服务工作，招生办拟通过教育类网站、微信公众平台、招生政策宣传类刊物、深入省内生源中学等形式开展招生宣传，设计制作招生就业宣传品，利用高中信息平台在招生就业季轮番推送学校招生就业信息等。通过招生就业宣传传播校园文化、提升学校知名度、扩大学校影响力，努力完成2026年招生目标任务，促进毕业生高质量就业。</w:t>
            </w:r>
          </w:p>
          <w:p>
            <w:pPr>
              <w:pStyle w:val="null3"/>
              <w:jc w:val="both"/>
            </w:pPr>
            <w:r>
              <w:rPr>
                <w:rFonts w:ascii="仿宋_GB2312" w:hAnsi="仿宋_GB2312" w:cs="仿宋_GB2312" w:eastAsia="仿宋_GB2312"/>
                <w:sz w:val="21"/>
                <w:b/>
                <w:color w:val="000000"/>
              </w:rPr>
              <w:t>二、服务内容</w:t>
            </w:r>
          </w:p>
          <w:tbl>
            <w:tblPr>
              <w:tblInd w:type="dxa" w:w="90"/>
              <w:tblBorders>
                <w:top w:val="single"/>
                <w:left w:val="single"/>
                <w:bottom w:val="single"/>
                <w:right w:val="single"/>
                <w:insideH w:val="single"/>
                <w:insideV w:val="single"/>
              </w:tblBorders>
            </w:tblPr>
            <w:tblGrid>
              <w:gridCol w:w="634"/>
              <w:gridCol w:w="274"/>
              <w:gridCol w:w="253"/>
              <w:gridCol w:w="1390"/>
            </w:tblGrid>
            <w:tr>
              <w:tc>
                <w:tcPr>
                  <w:tcW w:type="dxa" w:w="63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产品名称</w:t>
                  </w:r>
                </w:p>
              </w:tc>
              <w:tc>
                <w:tcPr>
                  <w:tcW w:type="dxa" w:w="27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数量</w:t>
                  </w:r>
                </w:p>
              </w:tc>
              <w:tc>
                <w:tcPr>
                  <w:tcW w:type="dxa" w:w="25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单位</w:t>
                  </w:r>
                </w:p>
              </w:tc>
              <w:tc>
                <w:tcPr>
                  <w:tcW w:type="dxa" w:w="139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参数要求</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无纺布袋</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材质：无纺布</w:t>
                  </w:r>
                  <w:r>
                    <w:br/>
                  </w:r>
                  <w:r>
                    <w:rPr>
                      <w:rFonts w:ascii="仿宋_GB2312" w:hAnsi="仿宋_GB2312" w:cs="仿宋_GB2312" w:eastAsia="仿宋_GB2312"/>
                      <w:sz w:val="21"/>
                      <w:color w:val="000000"/>
                    </w:rPr>
                    <w:t xml:space="preserve"> 尺寸：高40cm*宽30cm*侧10cm,带学校LOGO及宣传内容</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签字笔</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10000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支</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笔头：0.5mm中性芯</w:t>
                  </w:r>
                  <w:r>
                    <w:br/>
                  </w:r>
                  <w:r>
                    <w:rPr>
                      <w:rFonts w:ascii="仿宋_GB2312" w:hAnsi="仿宋_GB2312" w:cs="仿宋_GB2312" w:eastAsia="仿宋_GB2312"/>
                      <w:sz w:val="21"/>
                      <w:color w:val="000000"/>
                    </w:rPr>
                    <w:t xml:space="preserve"> 尺寸：长14.9cm,直径1cm</w:t>
                  </w:r>
                  <w:r>
                    <w:br/>
                  </w:r>
                  <w:r>
                    <w:rPr>
                      <w:rFonts w:ascii="仿宋_GB2312" w:hAnsi="仿宋_GB2312" w:cs="仿宋_GB2312" w:eastAsia="仿宋_GB2312"/>
                      <w:sz w:val="21"/>
                      <w:color w:val="000000"/>
                    </w:rPr>
                    <w:t xml:space="preserve"> 材质：塑料，带学校LOGO及宣传内容</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便签本</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本</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材质：封面250克铜版纸，内页100克双胶纸</w:t>
                  </w:r>
                  <w:r>
                    <w:br/>
                  </w:r>
                  <w:r>
                    <w:rPr>
                      <w:rFonts w:ascii="仿宋_GB2312" w:hAnsi="仿宋_GB2312" w:cs="仿宋_GB2312" w:eastAsia="仿宋_GB2312"/>
                      <w:sz w:val="21"/>
                      <w:color w:val="000000"/>
                    </w:rPr>
                    <w:t xml:space="preserve"> 尺寸：高14CM，宽10CM，胶装32张纸，带学校LOGO及宣传内容</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文创钥匙扣</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尺寸：长7CM，宽3.5-4CM</w:t>
                  </w:r>
                  <w:r>
                    <w:br/>
                  </w:r>
                  <w:r>
                    <w:rPr>
                      <w:rFonts w:ascii="仿宋_GB2312" w:hAnsi="仿宋_GB2312" w:cs="仿宋_GB2312" w:eastAsia="仿宋_GB2312"/>
                      <w:sz w:val="21"/>
                      <w:color w:val="000000"/>
                    </w:rPr>
                    <w:t xml:space="preserve"> 工艺：烤漆+UV</w:t>
                  </w:r>
                  <w:r>
                    <w:br/>
                  </w:r>
                  <w:r>
                    <w:rPr>
                      <w:rFonts w:ascii="仿宋_GB2312" w:hAnsi="仿宋_GB2312" w:cs="仿宋_GB2312" w:eastAsia="仿宋_GB2312"/>
                      <w:sz w:val="21"/>
                      <w:color w:val="000000"/>
                    </w:rPr>
                    <w:t xml:space="preserve"> 材质：合金</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数据线</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5000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产品型号：一拖三数据线</w:t>
                  </w:r>
                  <w:r>
                    <w:br/>
                  </w:r>
                  <w:r>
                    <w:rPr>
                      <w:rFonts w:ascii="仿宋_GB2312" w:hAnsi="仿宋_GB2312" w:cs="仿宋_GB2312" w:eastAsia="仿宋_GB2312"/>
                      <w:sz w:val="21"/>
                      <w:color w:val="000000"/>
                    </w:rPr>
                    <w:t xml:space="preserve"> 规格：100cm（厘米）</w:t>
                  </w:r>
                  <w:r>
                    <w:br/>
                  </w:r>
                  <w:r>
                    <w:rPr>
                      <w:rFonts w:ascii="仿宋_GB2312" w:hAnsi="仿宋_GB2312" w:cs="仿宋_GB2312" w:eastAsia="仿宋_GB2312"/>
                      <w:sz w:val="21"/>
                      <w:color w:val="000000"/>
                    </w:rPr>
                    <w:t xml:space="preserve"> 线材外经：OD18*55</w:t>
                  </w:r>
                  <w:r>
                    <w:br/>
                  </w:r>
                  <w:r>
                    <w:rPr>
                      <w:rFonts w:ascii="仿宋_GB2312" w:hAnsi="仿宋_GB2312" w:cs="仿宋_GB2312" w:eastAsia="仿宋_GB2312"/>
                      <w:sz w:val="21"/>
                      <w:color w:val="000000"/>
                    </w:rPr>
                    <w:t xml:space="preserve"> 线芯规格：110支0.08铜 （充电55*2）</w:t>
                  </w:r>
                  <w:r>
                    <w:br/>
                  </w:r>
                  <w:r>
                    <w:rPr>
                      <w:rFonts w:ascii="仿宋_GB2312" w:hAnsi="仿宋_GB2312" w:cs="仿宋_GB2312" w:eastAsia="仿宋_GB2312"/>
                      <w:sz w:val="21"/>
                      <w:color w:val="000000"/>
                    </w:rPr>
                    <w:t xml:space="preserve"> 适用机型：适用苹果、安卓，TYPEC三用</w:t>
                  </w:r>
                  <w:r>
                    <w:br/>
                  </w:r>
                  <w:r>
                    <w:rPr>
                      <w:rFonts w:ascii="仿宋_GB2312" w:hAnsi="仿宋_GB2312" w:cs="仿宋_GB2312" w:eastAsia="仿宋_GB2312"/>
                      <w:sz w:val="21"/>
                      <w:color w:val="000000"/>
                    </w:rPr>
                    <w:t xml:space="preserve"> 线材材质：TPE外被环保+铝合金</w:t>
                  </w:r>
                  <w:r>
                    <w:br/>
                  </w:r>
                  <w:r>
                    <w:rPr>
                      <w:rFonts w:ascii="仿宋_GB2312" w:hAnsi="仿宋_GB2312" w:cs="仿宋_GB2312" w:eastAsia="仿宋_GB2312"/>
                      <w:sz w:val="21"/>
                      <w:color w:val="000000"/>
                    </w:rPr>
                    <w:t xml:space="preserve"> 功能：充电+TYPE-C数据 (TYPE-C支持超级快充 苹果头）带学校LOGO及宣传内容</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帆布袋</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材质：12安白色环保布</w:t>
                  </w:r>
                  <w:r>
                    <w:br/>
                  </w:r>
                  <w:r>
                    <w:rPr>
                      <w:rFonts w:ascii="仿宋_GB2312" w:hAnsi="仿宋_GB2312" w:cs="仿宋_GB2312" w:eastAsia="仿宋_GB2312"/>
                      <w:sz w:val="21"/>
                      <w:color w:val="000000"/>
                    </w:rPr>
                    <w:t xml:space="preserve"> 尺寸：高40CM，宽30CM，侧8CM，带学校LOGO及宣传内容</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文创立体冰箱贴</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材质：树脂</w:t>
                  </w:r>
                  <w:r>
                    <w:br/>
                  </w:r>
                  <w:r>
                    <w:rPr>
                      <w:rFonts w:ascii="仿宋_GB2312" w:hAnsi="仿宋_GB2312" w:cs="仿宋_GB2312" w:eastAsia="仿宋_GB2312"/>
                      <w:sz w:val="21"/>
                      <w:color w:val="000000"/>
                    </w:rPr>
                    <w:t xml:space="preserve"> 规格：高8CM，直径3.5-4CM，底座磁吸</w:t>
                  </w:r>
                  <w:r>
                    <w:br/>
                  </w:r>
                  <w:r>
                    <w:rPr>
                      <w:rFonts w:ascii="仿宋_GB2312" w:hAnsi="仿宋_GB2312" w:cs="仿宋_GB2312" w:eastAsia="仿宋_GB2312"/>
                      <w:sz w:val="21"/>
                      <w:color w:val="000000"/>
                    </w:rPr>
                    <w:t xml:space="preserve"> 外包装：透明硬质塑料定制</w:t>
                  </w:r>
                </w:p>
              </w:tc>
            </w:tr>
            <w:tr>
              <w:tc>
                <w:tcPr>
                  <w:tcW w:type="dxa" w:w="63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文创金属冰箱贴</w:t>
                  </w:r>
                </w:p>
              </w:tc>
              <w:tc>
                <w:tcPr>
                  <w:tcW w:type="dxa" w:w="2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4500</w:t>
                  </w:r>
                </w:p>
              </w:tc>
              <w:tc>
                <w:tcPr>
                  <w:tcW w:type="dxa" w:w="25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1"/>
                      <w:color w:val="000000"/>
                    </w:rPr>
                    <w:t>个</w:t>
                  </w:r>
                </w:p>
              </w:tc>
              <w:tc>
                <w:tcPr>
                  <w:tcW w:type="dxa" w:w="13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1"/>
                      <w:color w:val="000000"/>
                    </w:rPr>
                    <w:t>材质：合金</w:t>
                  </w:r>
                  <w:r>
                    <w:br/>
                  </w:r>
                  <w:r>
                    <w:rPr>
                      <w:rFonts w:ascii="仿宋_GB2312" w:hAnsi="仿宋_GB2312" w:cs="仿宋_GB2312" w:eastAsia="仿宋_GB2312"/>
                      <w:sz w:val="21"/>
                      <w:color w:val="000000"/>
                    </w:rPr>
                    <w:t xml:space="preserve"> 尺寸：长7-8CM，宽4-5CM</w:t>
                  </w:r>
                  <w:r>
                    <w:br/>
                  </w:r>
                  <w:r>
                    <w:rPr>
                      <w:rFonts w:ascii="仿宋_GB2312" w:hAnsi="仿宋_GB2312" w:cs="仿宋_GB2312" w:eastAsia="仿宋_GB2312"/>
                      <w:sz w:val="21"/>
                      <w:color w:val="000000"/>
                    </w:rPr>
                    <w:t xml:space="preserve"> 工艺：烤漆+UV</w:t>
                  </w:r>
                </w:p>
              </w:tc>
            </w:tr>
          </w:tbl>
          <w:p>
            <w:pPr>
              <w:pStyle w:val="null3"/>
              <w:jc w:val="both"/>
            </w:pPr>
            <w:r>
              <w:rPr>
                <w:rFonts w:ascii="仿宋_GB2312" w:hAnsi="仿宋_GB2312" w:cs="仿宋_GB2312" w:eastAsia="仿宋_GB2312"/>
                <w:sz w:val="21"/>
                <w:b/>
                <w:color w:val="000000"/>
              </w:rPr>
              <w:t>三、技术要求</w:t>
            </w:r>
            <w:r>
              <w:rPr>
                <w:rFonts w:ascii="仿宋_GB2312" w:hAnsi="仿宋_GB2312" w:cs="仿宋_GB2312" w:eastAsia="仿宋_GB2312"/>
                <w:sz w:val="21"/>
                <w:color w:val="000000"/>
              </w:rPr>
              <w:t>（如有，一般适合于技术服务项目）</w:t>
            </w:r>
          </w:p>
          <w:p>
            <w:pPr>
              <w:pStyle w:val="null3"/>
              <w:jc w:val="both"/>
            </w:pPr>
            <w:r>
              <w:rPr>
                <w:rFonts w:ascii="仿宋_GB2312" w:hAnsi="仿宋_GB2312" w:cs="仿宋_GB2312" w:eastAsia="仿宋_GB2312"/>
                <w:sz w:val="21"/>
                <w:b/>
                <w:color w:val="000000"/>
              </w:rPr>
              <w:t>四、服务要求</w:t>
            </w:r>
            <w:r>
              <w:rPr>
                <w:rFonts w:ascii="仿宋_GB2312" w:hAnsi="仿宋_GB2312" w:cs="仿宋_GB2312" w:eastAsia="仿宋_GB2312"/>
                <w:sz w:val="21"/>
                <w:color w:val="000000"/>
              </w:rPr>
              <w:t>（如对人员配置、专业设备、服务标准等）</w:t>
            </w:r>
          </w:p>
          <w:p>
            <w:pPr>
              <w:pStyle w:val="null3"/>
              <w:ind w:firstLine="420"/>
              <w:jc w:val="both"/>
            </w:pPr>
            <w:r>
              <w:rPr>
                <w:rFonts w:ascii="仿宋_GB2312" w:hAnsi="仿宋_GB2312" w:cs="仿宋_GB2312" w:eastAsia="仿宋_GB2312"/>
                <w:sz w:val="21"/>
                <w:color w:val="000000"/>
              </w:rPr>
              <w:t>服务商须熟悉国家教育考试招生政策、陕西省教育考试招生相关规定及高校就业政策，在招生就业季安排专人提供各项服务。</w:t>
            </w:r>
          </w:p>
          <w:p>
            <w:pPr>
              <w:pStyle w:val="null3"/>
              <w:jc w:val="both"/>
            </w:pPr>
            <w:r>
              <w:rPr>
                <w:rFonts w:ascii="仿宋_GB2312" w:hAnsi="仿宋_GB2312" w:cs="仿宋_GB2312" w:eastAsia="仿宋_GB2312"/>
                <w:sz w:val="21"/>
                <w:b/>
                <w:color w:val="000000"/>
              </w:rPr>
              <w:t>五、商务要求</w:t>
            </w:r>
          </w:p>
          <w:p>
            <w:pPr>
              <w:pStyle w:val="null3"/>
              <w:jc w:val="both"/>
            </w:pPr>
            <w:r>
              <w:rPr>
                <w:rFonts w:ascii="仿宋_GB2312" w:hAnsi="仿宋_GB2312" w:cs="仿宋_GB2312" w:eastAsia="仿宋_GB2312"/>
                <w:sz w:val="21"/>
                <w:color w:val="000000"/>
              </w:rPr>
              <w:t>（一）服务期限</w:t>
            </w:r>
          </w:p>
          <w:p>
            <w:pPr>
              <w:pStyle w:val="null3"/>
              <w:ind w:firstLine="420"/>
              <w:jc w:val="both"/>
            </w:pPr>
            <w:r>
              <w:rPr>
                <w:rFonts w:ascii="仿宋_GB2312" w:hAnsi="仿宋_GB2312" w:cs="仿宋_GB2312" w:eastAsia="仿宋_GB2312"/>
                <w:sz w:val="21"/>
                <w:color w:val="000000"/>
              </w:rPr>
              <w:t>自合同签订之日起至2026年6月30日前完成。</w:t>
            </w:r>
          </w:p>
          <w:p>
            <w:pPr>
              <w:pStyle w:val="null3"/>
              <w:jc w:val="both"/>
            </w:pPr>
            <w:r>
              <w:rPr>
                <w:rFonts w:ascii="仿宋_GB2312" w:hAnsi="仿宋_GB2312" w:cs="仿宋_GB2312" w:eastAsia="仿宋_GB2312"/>
                <w:sz w:val="21"/>
                <w:color w:val="000000"/>
              </w:rPr>
              <w:t>（二）款项结算</w:t>
            </w:r>
          </w:p>
          <w:p>
            <w:pPr>
              <w:pStyle w:val="null3"/>
              <w:jc w:val="both"/>
            </w:pPr>
            <w:r>
              <w:rPr>
                <w:rFonts w:ascii="仿宋_GB2312" w:hAnsi="仿宋_GB2312" w:cs="仿宋_GB2312" w:eastAsia="仿宋_GB2312"/>
                <w:sz w:val="21"/>
                <w:color w:val="000000"/>
              </w:rPr>
              <w:t xml:space="preserve">  在完成合同签订后，甲方需要支付预付款项，为总金额的40%；在完成服务并通过甲方验收后一次性支付剩余款项，为总金额的60%。</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服务商须熟悉国家教育考试招生政策、陕西省教育考试招生相关规定及高校就业政策，在招生就业季安排专人提供各项服务。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服务商须熟悉国家教育考试招生政策、陕西省教育考试招生相关规定及高校就业政策，在招生就业季安排专人提供各项服务。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服务商须熟悉国家教育考试招生政策、陕西省教育考试招生相关规定及高校就业政策，在招生就业季安排专人提供各项服务。</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按照采购文件、响应文件及合同约定执行。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自合同签订之日起至2026年8月31日前完成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自合同签订之日起至2026年8月31日前完成</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自合同签订之日起至2026年6月30日前完成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西安职业技术学院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西安职业技术学院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西安职业技术学院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在完成合同签订后，提供增值税专用发票后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项目实施完工并验收合格，供应商提供付款申请，提供增值税专用发票后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在完成合同签订后，提供增值税专用发票后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项目实施完工并验收合格，供应商提供付款申请，提供增值税专用发票后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在完成合同签订后，提供增值税专用发票后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项目实施完工并验收合格，供应商提供付款申请，提供增值税专用发票后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本合同在履行过程中发生的争议，由甲方、乙方双方当事人协商解决，协商不成的依法向甲方所在地人民法院起诉。</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本合同在履行过程中发生的争议，由甲方、乙方双方当事人协商解决，协商不成的依法向甲方所在地人民法院起诉。</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本合同在履行过程中发生的争议，由甲方、乙方双方当事人协商解决，协商不成的依法向甲方所在地人民法院起诉。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3.4.1.成交供应商在领取成交通知书时提供纸质版响应文件一正一副。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供应商应授权合法的人员参与磋商全过程，其中法定代表人直接磋商，须附法定代表人身份证明书。法定代表人授权代表参加磋商的，须附法定代表人授权书。</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供应商应授权合法的人员参与磋商全过程，其中法定代表人直接磋商，须附法定代表人身份证明书。法定代表人授权代表参加磋商的，须附法定代表人授权书。</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提供2024年度或2025年度经审计的财务会计报告或提交投标文件截止时间三个月内其基本账户开户银行出具的资信证明（附基本存款账户信息）。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提供具有履行的专业技术承诺</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供应商应授权合法的人员参与磋商全过程，其中法定代表人直接磋商，须附法定代表人身份证明书。法定代表人授权代表参加磋商的，须附法定代表人授权书。</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应在信用中国、中国执行信息公开网和中国政府采购网（www.ccgp.gov.cn）可查询信用记录，并且未被列入失信被执行人、重大税收违法案件当事人名单、政府采购严重违法失信行为记录名单等，以磋商当日现场查询结果截图形式留存。</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联合体磋商</w:t>
            </w:r>
          </w:p>
        </w:tc>
        <w:tc>
          <w:tcPr>
            <w:tcW w:type="dxa" w:w="3322"/>
          </w:tcPr>
          <w:p>
            <w:pPr>
              <w:pStyle w:val="null3"/>
            </w:pPr>
            <w:r>
              <w:rPr>
                <w:rFonts w:ascii="仿宋_GB2312" w:hAnsi="仿宋_GB2312" w:cs="仿宋_GB2312" w:eastAsia="仿宋_GB2312"/>
              </w:rPr>
              <w:t>本项目不接受联合体磋商（提供相应承诺）;供应商需在项目电子化交易系统中按要求上传相应证明文件并进行电子签章。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付款方式是否满足竞争性磋商文件的要求。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服务期限是否满足竞争性磋商文件的要求。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付款方式是否满足竞争性磋商文件的要求。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服务期限是否满足竞争性磋商文件的要求。</w:t>
            </w:r>
          </w:p>
        </w:tc>
        <w:tc>
          <w:tcPr>
            <w:tcW w:type="dxa" w:w="1661"/>
          </w:tcPr>
          <w:p>
            <w:pPr>
              <w:pStyle w:val="null3"/>
            </w:pPr>
            <w:r>
              <w:rPr>
                <w:rFonts w:ascii="仿宋_GB2312" w:hAnsi="仿宋_GB2312" w:cs="仿宋_GB2312" w:eastAsia="仿宋_GB2312"/>
              </w:rPr>
              <w:t>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响应文件编制、签署盖章</w:t>
            </w:r>
          </w:p>
        </w:tc>
        <w:tc>
          <w:tcPr>
            <w:tcW w:type="dxa" w:w="3322"/>
          </w:tcPr>
          <w:p>
            <w:pPr>
              <w:pStyle w:val="null3"/>
            </w:pPr>
            <w:r>
              <w:rPr>
                <w:rFonts w:ascii="仿宋_GB2312" w:hAnsi="仿宋_GB2312" w:cs="仿宋_GB2312" w:eastAsia="仿宋_GB2312"/>
              </w:rPr>
              <w:t>按磋商文件格式编制，并按要求加盖了供应商公章和有法定代表人/企业负责人或其授权代表签字或加盖人名章。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供应商资格证明文件.docx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供应商报价是固定价且未超过预算金额（磋商文件有最高限价的，报价未超过最高限价）。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付款方式是否满足竞争性磋商文件的要求。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服务期限是否满足竞争性磋商文件的要求。</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供应商针对招生宣传服务内容和要求的理解提供总体实施计划与服务方案，内容包括但不限于服务内容、技术要求、服务要求、商务响应、其他相关服务方案，确保方案具有针对性、吸引力和可操作性； 1、对学校招生宣传需求理解深度高、精准度强，宣传方案的传播策略专业且创新度高，方案充分突出学校办学特色，针对性、吸引力、可操作性均达到项目最高要求，得30分； 2、对学校招生宣传需求理解深度较高、精准度较强，宣传方案的传播策略较专业且创新度较高，方案突出学校办学特色，针对性、吸引力、可操作性良好，得27分； 3、对学校招生宣传需求理解深度一般、精准度一般，宣传方案传播策略常规化，媒介应用能力一般，方案基本体现学校办学特色，针对性、吸引力、可操作性一般，得24分； 未按要求提交本项服务方案或方案核心内容缺失、无效，得0分。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有合理的阶段划分，各阶段有明确的工作目标、有可行的执行计划与时间表等； 1.方案详细、科学合理、切实可行的，得20分； 2.方案内容一般、合理可行的，得17分； 3.没有按招标文件要求提供方案（或方案被评定为不可行），得14分； 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针对本项目的项目团队组织机构，包括但不限于团队组织人员配置明细、团队人员管理制度、各专业种类、岗位配置、配置人员工作经验等。人员安排科学、合理、完全满足采购需求，得9分；人员安排基本满足实际需要，得6分；人员安排需要优化后才能满足实际需要，得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同类招生宣传平台资源</w:t>
            </w:r>
          </w:p>
        </w:tc>
        <w:tc>
          <w:tcPr>
            <w:tcW w:type="dxa" w:w="2492"/>
          </w:tcPr>
          <w:p>
            <w:pPr>
              <w:pStyle w:val="null3"/>
            </w:pPr>
            <w:r>
              <w:rPr>
                <w:rFonts w:ascii="仿宋_GB2312" w:hAnsi="仿宋_GB2312" w:cs="仿宋_GB2312" w:eastAsia="仿宋_GB2312"/>
              </w:rPr>
              <w:t>供应商具有与本项目同类招生宣传服务相关的合作资源、宣传渠道、官方网站、微信公众号、微博、视频号、抖音号、小红书、本地生活号、教育类平台等可用于招生宣传的正规运营媒体平台资源，每提供 1 项有效资源得2分，最多得 10 分；未提供或提供无效材料的不得分。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需针对本项目编制完整、规范、无歧义的服务承诺文件，内容包含但不限于以下针对本项目的各项服务质量目标、服务质量保障措施、服务响应时间承诺（含日常响应、紧急需求响应、重大节点响应等）。1、服务承诺文件内容完整、逻辑清晰、无任何瑕疵，服务质量目标量化明确、可考核、可达成；保障措施具体可行、针对性强，覆盖全服务流程；服务响应时间承诺清晰、合理、可落地，完全满足本项目服务要求，得7分；2、服务承诺文件存在如目标描述不够量化、保障措施缺乏细节、响应时间约定不明确等，但核心承诺内容有效，不影响项目整体执行，得4分； 3、服务承诺文件存在如目标与措施不匹配、响应时间存在模糊表述、关键环节缺失等，需供应商补充说明后方可执行，整体承诺存在一定不完善性，得2分； 4、未按要求提供服务承诺文件，或文件存在如核心模块缺失、承诺内容虚假、无法落地等，无法满足本项目基本服务需求，得0分。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风险预案</w:t>
            </w:r>
          </w:p>
        </w:tc>
        <w:tc>
          <w:tcPr>
            <w:tcW w:type="dxa" w:w="2492"/>
          </w:tcPr>
          <w:p>
            <w:pPr>
              <w:pStyle w:val="null3"/>
            </w:pPr>
            <w:r>
              <w:rPr>
                <w:rFonts w:ascii="仿宋_GB2312" w:hAnsi="仿宋_GB2312" w:cs="仿宋_GB2312" w:eastAsia="仿宋_GB2312"/>
              </w:rPr>
              <w:t>供应商须针对招生宣传执行过程中，因政策调整、网络故障、平台限制、自然灾害、等导致宣传内容需临时调整、延期发布、错漏播出、渠道中断等情况，提供专项、具体、可落地的应急响应方案。 1、提供详细、完整、针对性强的不可抗力应急响应方案，内容齐全、方案科学合理、可直接执行的，得4 分； 2、未提供应急响应方案，或方案内容空洞、无具体措施、无法应对突发宣传调整与漏播情况的，得0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要求提供2023年1月1日起至今的同类服务项目业绩，需提供合同扫描盖章件；每提供一份得2分，最高得10分，未提供不得分。（注：合同扫描盖章件至少具备首页、内容页及签字盖章页）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供应商针对招生宣传服务内容和要求的理解提供总体实施计划与服务方案，内容包括但不限于服务内容、技术要求、服务要求、商务响应、其他相关服务方案，确保方案具有针对性、吸引力和可操作性； 1、对学校招生宣传需求理解深度高、精准度强，宣传方案的传播策略专业且创新度高，方案充分突出学校办学特色，针对性、吸引力、可操作性均达到项目最高要求，得30分； 2、对学校招生宣传需求理解深度较高、精准度较强，宣传方案的传播策略较专业且创新度较高，方案突出学校办学特色，针对性、吸引力、可操作性良好，得27分； 3、对学校招生宣传需求理解深度一般、精准度一般，宣传方案传播策略常规化，媒介应用能力一般，方案基本体现学校办学特色，针对性、吸引力、可操作性一般，得24分； 未按要求提交本项服务方案或方案核心内容缺失、无效，得0分。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有合理的阶段划分，各阶段有明确的工作目标、有可行的执行计划与时间表等； 1.方案详细、科学合理、切实可行的，得20分； 2.方案内容一般、合理可行的，得17分； 3.没有按招标文件要求提供方案（或方案被评定为不可行），得14分； 未提供不得分 。</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拟投入本项目服务团队</w:t>
            </w:r>
          </w:p>
        </w:tc>
        <w:tc>
          <w:tcPr>
            <w:tcW w:type="dxa" w:w="2492"/>
          </w:tcPr>
          <w:p>
            <w:pPr>
              <w:pStyle w:val="null3"/>
            </w:pPr>
            <w:r>
              <w:rPr>
                <w:rFonts w:ascii="仿宋_GB2312" w:hAnsi="仿宋_GB2312" w:cs="仿宋_GB2312" w:eastAsia="仿宋_GB2312"/>
              </w:rPr>
              <w:t>针对本项目的项目团队组织机构，包括但不限于团队组织人员配置明细、团队人员管理制度、各专业种类、岗位配置、配置人员工作经验等。人员安排科学、合理、完全满足采购需求，得9分；人员安排基本满足实际需要，得6分；人员安排需要优化后才能满足实际需要，得3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同类招生宣传平台资源</w:t>
            </w:r>
          </w:p>
        </w:tc>
        <w:tc>
          <w:tcPr>
            <w:tcW w:type="dxa" w:w="2492"/>
          </w:tcPr>
          <w:p>
            <w:pPr>
              <w:pStyle w:val="null3"/>
            </w:pPr>
            <w:r>
              <w:rPr>
                <w:rFonts w:ascii="仿宋_GB2312" w:hAnsi="仿宋_GB2312" w:cs="仿宋_GB2312" w:eastAsia="仿宋_GB2312"/>
              </w:rPr>
              <w:t>供应商具有与本项目同类招生宣传服务相关的合作资源、宣传渠道、官方网站、微信公众号、微博、视频号、抖音号、小红书、本地生活号、教育类平台等可用于招生宣传的正规运营媒体平台资源，每提供 1 项有效资源得2分，最多得 10 分；未提供或提供无效材料的不得分。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需针对本项目编制完整、规范、无歧义的服务承诺文件，内容包含但不限于以下针对本项目的各项服务质量目标、服务质量保障措施、服务响应时间承诺（含日常响应、紧急需求响应、重大节点响应等）。1、服务承诺文件内容完整、逻辑清晰、无任何瑕疵，服务质量目标量化明确、可考核、可达成；保障措施具体可行、针对性强，覆盖全服务流程；服务响应时间承诺清晰、合理、可落地，完全满足本项目服务要求，得7分；2、服务承诺文件存在如目标描述不够量化、保障措施缺乏细节、响应时间约定不明确等，但核心承诺内容有效，不影响项目整体执行，得4分；3、服务承诺文件存在如目标与措施不匹配、响应时间存在模糊表述、关键环节缺失等，需供应商补充说明后方可执行，整体承诺存在一定不完善性，得2分；4、未按要求提供服务承诺文件，或文件存在如核心模块缺失、承诺内容虚假、无法落地等，无法满足本项目基本服务需求，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风险预案</w:t>
            </w:r>
          </w:p>
        </w:tc>
        <w:tc>
          <w:tcPr>
            <w:tcW w:type="dxa" w:w="2492"/>
          </w:tcPr>
          <w:p>
            <w:pPr>
              <w:pStyle w:val="null3"/>
            </w:pPr>
            <w:r>
              <w:rPr>
                <w:rFonts w:ascii="仿宋_GB2312" w:hAnsi="仿宋_GB2312" w:cs="仿宋_GB2312" w:eastAsia="仿宋_GB2312"/>
              </w:rPr>
              <w:t>供应商须针对招生宣传执行过程中，因政策调整、网络故障、平台限制、自然灾害、等导致宣传内容需临时调整、延期发布、错漏播出、渠道中断等情况，提供专项、具体、可落地的应急响应方案。 1、提供详细、完整、针对性强的不可抗力应急响应方案，内容齐全、方案科学合理、可直接执行的，得4 分；2、未提供应急响应方案，或方案内容空洞、无具体措施、无法应对突发宣传调整与漏播情况的，得0 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要求提供2023年1月1日起至今的同类服务项目业绩，需提供合同扫描盖章件；每提供一份得2分，最高得10分，未提供不得分。（注：合同扫描盖章件至少具备首页、内容页及签字盖章页）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满足磋商文件要求且最后报价最低的供应商的价格为磋商基准价，其价格分为满分。其他供应商的价格分统一按照下列公式计算：磋商报价得分=（磋商基准价/最后磋商报价）×价格分分值。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设计思路与理念</w:t>
            </w:r>
          </w:p>
        </w:tc>
        <w:tc>
          <w:tcPr>
            <w:tcW w:type="dxa" w:w="2492"/>
          </w:tcPr>
          <w:p>
            <w:pPr>
              <w:pStyle w:val="null3"/>
            </w:pPr>
            <w:r>
              <w:rPr>
                <w:rFonts w:ascii="仿宋_GB2312" w:hAnsi="仿宋_GB2312" w:cs="仿宋_GB2312" w:eastAsia="仿宋_GB2312"/>
              </w:rPr>
              <w:t>供应商需针对本项目提供详细的设计思路阐述。 1.对高校文化、就业特色理解深刻，设计理念新颖且贴合学校形象，色彩规范符合高校要求，排版逻辑清晰得10分。2.理解较为准确，设计方案中规中矩，能满足基本宣传需求得7分。3.理解存在偏差，设计方案粗糙或无具体设计理念得4分。4.未提供设计方案或方案严重偏离采购需求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材质工艺与制作可行性方案</w:t>
            </w:r>
          </w:p>
        </w:tc>
        <w:tc>
          <w:tcPr>
            <w:tcW w:type="dxa" w:w="2492"/>
          </w:tcPr>
          <w:p>
            <w:pPr>
              <w:pStyle w:val="null3"/>
            </w:pPr>
            <w:r>
              <w:rPr>
                <w:rFonts w:ascii="仿宋_GB2312" w:hAnsi="仿宋_GB2312" w:cs="仿宋_GB2312" w:eastAsia="仿宋_GB2312"/>
              </w:rPr>
              <w:t>针对无纺布袋、签字笔、便签本、文创钥匙扣、数据线、帆布袋、文创立体冰箱贴、文创金属冰箱贴等不同品类，提供详细的材质选型及工艺说明。 1.针对设计方案在满足采购需要的情况下提供了详细的材质选用建议和制作工艺说明；工艺方案与设计效果高度匹配，既美观又具有良好的耐用性，且成本控制合理，实施可行性高得10分。2.提供了基本的材质和工艺说明，方案基本可行，能满足宣传品的基本使用需求的7分。3.材质工艺描述简单笼统，或工艺方案与设计效果不匹配，存在实施风险得4分。4.未提供材质工艺方案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生产进度计划</w:t>
            </w:r>
          </w:p>
        </w:tc>
        <w:tc>
          <w:tcPr>
            <w:tcW w:type="dxa" w:w="2492"/>
          </w:tcPr>
          <w:p>
            <w:pPr>
              <w:pStyle w:val="null3"/>
            </w:pPr>
            <w:r>
              <w:rPr>
                <w:rFonts w:ascii="仿宋_GB2312" w:hAnsi="仿宋_GB2312" w:cs="仿宋_GB2312" w:eastAsia="仿宋_GB2312"/>
              </w:rPr>
              <w:t>根据就业宣传的时间节点，制定详细的生产进度计划。 1. 关键节点控制准确，预留了充足的缓冲时间，产能分析合理，能确保在高峰期按时交付得10分。2. 有进度计划，但关键节点不够细化得7。3. 计划笼统，无法保证工期得4分。4.未提供生产进度计划0分。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售后服务承诺</w:t>
            </w:r>
          </w:p>
        </w:tc>
        <w:tc>
          <w:tcPr>
            <w:tcW w:type="dxa" w:w="2492"/>
          </w:tcPr>
          <w:p>
            <w:pPr>
              <w:pStyle w:val="null3"/>
            </w:pPr>
            <w:r>
              <w:rPr>
                <w:rFonts w:ascii="仿宋_GB2312" w:hAnsi="仿宋_GB2312" w:cs="仿宋_GB2312" w:eastAsia="仿宋_GB2312"/>
              </w:rPr>
              <w:t>提供完善的售后服务体系，包括质量异议处理、补寄流程等。1.承诺7×24小时响应，出现质量问题（如破损、错印）能在24小时内给出解决方案并启动补印，补印周期短得10分。2.响应时间较快，有基本的售后流程得7分。3.售后承诺模糊得4分。4.未按要求提供服务承诺文件，或文件存在如核心模块缺失、承诺内容虚假、无法落地等，无法满足本项目基本服务需求，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针对设备故障、原材料短缺、疫情、不可抗力等突发情况的应急预案。 1.预案详实可行，有备用生产线或应急协作单位，有充足的原材料储备计划得10 分。2.有基本应急预案，方案不详尽、内容不完整、原材料储备计划不足得5分。3.未提供应急响应方案，或方案内容空洞、无具体措施、无法应对突发调整情况的，得0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要求提供2023年1月1日起至今的同类项目业绩，需提供合同扫描盖章件；每提供一份得2分，最高得10分，未提供不得分。（注：合同扫描盖章件至少具备首页、内容页及签字盖章页）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针对样品设计贴合度、样品制作质量、合规性与创新性。 1.设计主题鲜明，紧扣学校宣传需求，材质优良，符合招标文件规定标准，工艺精湛，细节处理到位、印刷清晰、粘贴牢固），耐用性强，样品内容合规，设计具有创新性，风格新颖、辨识度高，有独特设计亮点得10分。2.设计贴合学校需求，主题基本明确，材质符合基本要求，无明显质量问题；工艺较好，细节处理基本到位，耐用性较好，样品内容合规，无明显错误；设计有一定新意，风格基本贴合校园场景，无明显抄袭痕迹得7分。3.设计主题不清晰，与学校宣传需求贴合度较低，存在轻微偏离，材质一般，存在轻微破损、褪色等问题；工艺粗糙，细节处理有瑕疵，耐用性一般，样品内容基本合规，存在少量错别字等轻微问题；设计缺乏新意，风格普通，无明显亮点得4分。4.未提供样品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满足磋商文件要求且最后报价最低的供应商的价格为磋商基准价，其价格分为满分。其他供应商的价格分统一按照下列公式计算：磋商报价得分=（磋商基准价/最后磋商报价）×价格分分值。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