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版本号：0617-2622GZ085020260416001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南院铺设柏油道路项目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0617-2622GZ0850</w:t>
      </w:r>
      <w:r>
        <w:br/>
      </w:r>
      <w:r>
        <w:br/>
      </w:r>
      <w:r>
        <w:br/>
      </w:r>
    </w:p>
    <w:p>
      <w:pPr>
        <w:pStyle w:val="null3"/>
        <w:jc w:val="center"/>
        <w:outlineLvl w:val="2"/>
      </w:pPr>
      <w:r>
        <w:rPr>
          <w:rFonts w:ascii="仿宋_GB2312" w:hAnsi="仿宋_GB2312" w:cs="仿宋_GB2312" w:eastAsia="仿宋_GB2312"/>
          <w:sz w:val="28"/>
          <w:b/>
        </w:rPr>
        <w:t>西安市中心医院</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西安市中心医院</w:t>
      </w:r>
      <w:r>
        <w:rPr>
          <w:rFonts w:ascii="仿宋_GB2312" w:hAnsi="仿宋_GB2312" w:cs="仿宋_GB2312" w:eastAsia="仿宋_GB2312"/>
        </w:rPr>
        <w:t>委托，拟对</w:t>
      </w:r>
      <w:r>
        <w:rPr>
          <w:rFonts w:ascii="仿宋_GB2312" w:hAnsi="仿宋_GB2312" w:cs="仿宋_GB2312" w:eastAsia="仿宋_GB2312"/>
        </w:rPr>
        <w:t>南院铺设柏油道路项目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0617-2622GZ0850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南院铺设柏油道路项目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拟对南院区道路进行改造，铺设沥青混凝土路面，具体施工方案详见本项目设计图纸及工程量清单。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采购包1（南院铺设柏油道路项目）：属于专门面向中小企业采购。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1、企业资质证书：供应商具有建筑工程施工总承包二级(含二级)以上资质或市政公用工程施工总承包资质二级(含二级)以上资质且具备有效的安全生产许可证。</w:t>
      </w:r>
    </w:p>
    <w:p>
      <w:pPr>
        <w:pStyle w:val="null3"/>
      </w:pPr>
      <w:r>
        <w:rPr>
          <w:rFonts w:ascii="仿宋_GB2312" w:hAnsi="仿宋_GB2312" w:cs="仿宋_GB2312" w:eastAsia="仿宋_GB2312"/>
        </w:rPr>
        <w:t>2、拟派项目经理要求：拟派项目经理须具备合法有效的建筑工程专业二级(含)以上或市政公用工程专业二级(含)以上注册建造师执业资格，同时具备有效的安全生产考核合格证书(安全B证)，在本单位注册且无在建工程。</w:t>
      </w:r>
    </w:p>
    <w:p>
      <w:pPr>
        <w:pStyle w:val="null3"/>
      </w:pPr>
      <w:r>
        <w:rPr>
          <w:rFonts w:ascii="仿宋_GB2312" w:hAnsi="仿宋_GB2312" w:cs="仿宋_GB2312" w:eastAsia="仿宋_GB2312"/>
        </w:rPr>
        <w:t>3、法定代表人授权书及被授权人本单位证明：供应商应授权合法的人员参加投标，其中法定代表人直接参加的须出具法定代表人身份证并与营业执照上信息一致，法定代表人授权代表参加的须出具法定代表人授权书及被授权人本单位证明 (近6个月内任意1个月社保缴纳证明)。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西安市后宰门185号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029-61312515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王炳淇、程佳、杨凡、张勃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029-85592868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代理服务费收费标准：以成交金额为基数，依据《招标代理服务收费管理暂行办法》（计价格[2002]1980号）和《关于招标代理服务收费有关问题的通知》（发改办价格[2003]857号）*80%的有关规定收取。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踏勘时间：2026-04-28 09:30:00</w:t>
            </w:r>
          </w:p>
          <w:p>
            <w:pPr>
              <w:pStyle w:val="null3"/>
              <w:ind w:firstLine="975"/>
            </w:pPr>
            <w:r>
              <w:rPr>
                <w:rFonts w:ascii="仿宋_GB2312" w:hAnsi="仿宋_GB2312" w:cs="仿宋_GB2312" w:eastAsia="仿宋_GB2312"/>
              </w:rPr>
              <w:t>踏勘地点：西安市中心医院北大街院区</w:t>
            </w:r>
          </w:p>
          <w:p>
            <w:pPr>
              <w:pStyle w:val="null3"/>
              <w:ind w:firstLine="975"/>
            </w:pPr>
            <w:r>
              <w:rPr>
                <w:rFonts w:ascii="仿宋_GB2312" w:hAnsi="仿宋_GB2312" w:cs="仿宋_GB2312" w:eastAsia="仿宋_GB2312"/>
              </w:rPr>
              <w:t>联系人：安老师</w:t>
            </w:r>
          </w:p>
          <w:p>
            <w:pPr>
              <w:pStyle w:val="null3"/>
              <w:ind w:firstLine="975"/>
            </w:pPr>
            <w:r>
              <w:rPr>
                <w:rFonts w:ascii="仿宋_GB2312" w:hAnsi="仿宋_GB2312" w:cs="仿宋_GB2312" w:eastAsia="仿宋_GB2312"/>
              </w:rPr>
              <w:t>联系电话号码：13509180515</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西安市中心医院</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西安市中心医院</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联系人：西北（陕西）国际招标有限公司综合监督处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1,050,000.00</w:t>
      </w:r>
    </w:p>
    <w:p>
      <w:pPr>
        <w:pStyle w:val="null3"/>
      </w:pPr>
      <w:r>
        <w:rPr>
          <w:rFonts w:ascii="仿宋_GB2312" w:hAnsi="仿宋_GB2312" w:cs="仿宋_GB2312" w:eastAsia="仿宋_GB2312"/>
        </w:rPr>
        <w:t>采购包最高限价（元）: 1,049,139.63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南院铺设柏油道路项目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标的名称：南院铺设柏油道路项目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一、项目概况</w:t>
            </w:r>
            <w:r>
              <w:br/>
            </w:r>
            <w:r>
              <w:rPr>
                <w:rFonts w:ascii="仿宋_GB2312" w:hAnsi="仿宋_GB2312" w:cs="仿宋_GB2312" w:eastAsia="仿宋_GB2312"/>
              </w:rPr>
              <w:t xml:space="preserve">  </w:t>
            </w:r>
            <w:r>
              <w:rPr>
                <w:rFonts w:ascii="仿宋_GB2312" w:hAnsi="仿宋_GB2312" w:cs="仿宋_GB2312" w:eastAsia="仿宋_GB2312"/>
                <w:sz w:val="21"/>
              </w:rPr>
              <w:t>拟对南院区道路进行改造，铺设</w:t>
            </w:r>
            <w:r>
              <w:rPr>
                <w:rFonts w:ascii="仿宋_GB2312" w:hAnsi="仿宋_GB2312" w:cs="仿宋_GB2312" w:eastAsia="仿宋_GB2312"/>
                <w:sz w:val="21"/>
              </w:rPr>
              <w:t>沥青混凝土</w:t>
            </w:r>
            <w:r>
              <w:rPr>
                <w:rFonts w:ascii="仿宋_GB2312" w:hAnsi="仿宋_GB2312" w:cs="仿宋_GB2312" w:eastAsia="仿宋_GB2312"/>
                <w:sz w:val="21"/>
              </w:rPr>
              <w:t>路面，具体施工方案详见本项目设计图纸及工程量清单</w:t>
            </w:r>
            <w:r>
              <w:rPr>
                <w:rFonts w:ascii="仿宋_GB2312" w:hAnsi="仿宋_GB2312" w:cs="仿宋_GB2312" w:eastAsia="仿宋_GB2312"/>
                <w:sz w:val="21"/>
              </w:rPr>
              <w:t>。</w:t>
            </w:r>
            <w:r>
              <w:br/>
            </w:r>
            <w:r>
              <w:rPr>
                <w:rFonts w:ascii="仿宋_GB2312" w:hAnsi="仿宋_GB2312" w:cs="仿宋_GB2312" w:eastAsia="仿宋_GB2312"/>
                <w:sz w:val="21"/>
                <w:b/>
              </w:rPr>
              <w:t>二、工程内容和施工地点、计划工期、缺陷责任期、质量保修期</w:t>
            </w:r>
            <w:r>
              <w:br/>
            </w:r>
            <w:r>
              <w:rPr>
                <w:rFonts w:ascii="仿宋_GB2312" w:hAnsi="仿宋_GB2312" w:cs="仿宋_GB2312" w:eastAsia="仿宋_GB2312"/>
                <w:sz w:val="21"/>
              </w:rPr>
              <w:t>1、</w:t>
            </w:r>
            <w:r>
              <w:rPr>
                <w:rFonts w:ascii="仿宋_GB2312" w:hAnsi="仿宋_GB2312" w:cs="仿宋_GB2312" w:eastAsia="仿宋_GB2312"/>
                <w:sz w:val="21"/>
              </w:rPr>
              <w:t>工程内容：西安市中心医院南院铺设柏油道路</w:t>
            </w:r>
          </w:p>
          <w:p>
            <w:pPr>
              <w:pStyle w:val="null3"/>
            </w:pPr>
            <w:r>
              <w:rPr>
                <w:rFonts w:ascii="仿宋_GB2312" w:hAnsi="仿宋_GB2312" w:cs="仿宋_GB2312" w:eastAsia="仿宋_GB2312"/>
                <w:sz w:val="21"/>
              </w:rPr>
              <w:t>2、</w:t>
            </w:r>
            <w:r>
              <w:rPr>
                <w:rFonts w:ascii="仿宋_GB2312" w:hAnsi="仿宋_GB2312" w:cs="仿宋_GB2312" w:eastAsia="仿宋_GB2312"/>
                <w:sz w:val="21"/>
              </w:rPr>
              <w:t>工程地点：西安市中心医院（北大街院区）</w:t>
            </w:r>
          </w:p>
          <w:p>
            <w:pPr>
              <w:pStyle w:val="null3"/>
            </w:pPr>
            <w:r>
              <w:rPr>
                <w:rFonts w:ascii="仿宋_GB2312" w:hAnsi="仿宋_GB2312" w:cs="仿宋_GB2312" w:eastAsia="仿宋_GB2312"/>
                <w:sz w:val="21"/>
              </w:rPr>
              <w:t>3、</w:t>
            </w:r>
            <w:r>
              <w:rPr>
                <w:rFonts w:ascii="仿宋_GB2312" w:hAnsi="仿宋_GB2312" w:cs="仿宋_GB2312" w:eastAsia="仿宋_GB2312"/>
                <w:sz w:val="21"/>
              </w:rPr>
              <w:t>计划工期：</w:t>
            </w:r>
            <w:r>
              <w:rPr>
                <w:rFonts w:ascii="仿宋_GB2312" w:hAnsi="仿宋_GB2312" w:cs="仿宋_GB2312" w:eastAsia="仿宋_GB2312"/>
                <w:sz w:val="21"/>
              </w:rPr>
              <w:t>40个日历日</w:t>
            </w:r>
          </w:p>
          <w:p>
            <w:pPr>
              <w:pStyle w:val="null3"/>
            </w:pPr>
            <w:r>
              <w:rPr>
                <w:rFonts w:ascii="仿宋_GB2312" w:hAnsi="仿宋_GB2312" w:cs="仿宋_GB2312" w:eastAsia="仿宋_GB2312"/>
                <w:sz w:val="21"/>
              </w:rPr>
              <w:t>4、</w:t>
            </w:r>
            <w:r>
              <w:rPr>
                <w:rFonts w:ascii="仿宋_GB2312" w:hAnsi="仿宋_GB2312" w:cs="仿宋_GB2312" w:eastAsia="仿宋_GB2312"/>
                <w:sz w:val="21"/>
              </w:rPr>
              <w:t>质量保修期：</w:t>
            </w:r>
            <w:r>
              <w:rPr>
                <w:rFonts w:ascii="仿宋_GB2312" w:hAnsi="仿宋_GB2312" w:cs="仿宋_GB2312" w:eastAsia="仿宋_GB2312"/>
                <w:sz w:val="21"/>
              </w:rPr>
              <w:t>2</w:t>
            </w:r>
            <w:r>
              <w:rPr>
                <w:rFonts w:ascii="仿宋_GB2312" w:hAnsi="仿宋_GB2312" w:cs="仿宋_GB2312" w:eastAsia="仿宋_GB2312"/>
                <w:sz w:val="21"/>
              </w:rPr>
              <w:t>年</w:t>
            </w:r>
            <w:r>
              <w:rPr>
                <w:rFonts w:ascii="仿宋_GB2312" w:hAnsi="仿宋_GB2312" w:cs="仿宋_GB2312" w:eastAsia="仿宋_GB2312"/>
                <w:sz w:val="21"/>
              </w:rPr>
              <w:t>。</w:t>
            </w:r>
            <w:r>
              <w:br/>
            </w:r>
            <w:r>
              <w:rPr>
                <w:rFonts w:ascii="仿宋_GB2312" w:hAnsi="仿宋_GB2312" w:cs="仿宋_GB2312" w:eastAsia="仿宋_GB2312"/>
                <w:sz w:val="21"/>
                <w:b/>
              </w:rPr>
              <w:t>三、工程量清单</w:t>
            </w:r>
            <w:r>
              <w:br/>
            </w:r>
            <w:r>
              <w:rPr>
                <w:rFonts w:ascii="仿宋_GB2312" w:hAnsi="仿宋_GB2312" w:cs="仿宋_GB2312" w:eastAsia="仿宋_GB2312"/>
                <w:sz w:val="21"/>
              </w:rPr>
              <w:t xml:space="preserve"> </w:t>
            </w:r>
            <w:r>
              <w:rPr>
                <w:rFonts w:ascii="仿宋_GB2312" w:hAnsi="仿宋_GB2312" w:cs="仿宋_GB2312" w:eastAsia="仿宋_GB2312"/>
                <w:sz w:val="21"/>
              </w:rPr>
              <w:t>见附件</w:t>
            </w:r>
            <w:r>
              <w:br/>
            </w:r>
            <w:r>
              <w:rPr>
                <w:rFonts w:ascii="仿宋_GB2312" w:hAnsi="仿宋_GB2312" w:cs="仿宋_GB2312" w:eastAsia="仿宋_GB2312"/>
                <w:sz w:val="21"/>
                <w:b/>
              </w:rPr>
              <w:t>四、施工要求</w:t>
            </w:r>
            <w:r>
              <w:br/>
            </w:r>
            <w:r>
              <w:rPr>
                <w:rFonts w:ascii="仿宋_GB2312" w:hAnsi="仿宋_GB2312" w:cs="仿宋_GB2312" w:eastAsia="仿宋_GB2312"/>
              </w:rPr>
              <w:t xml:space="preserve">    </w:t>
            </w:r>
            <w:r>
              <w:rPr>
                <w:rFonts w:ascii="仿宋_GB2312" w:hAnsi="仿宋_GB2312" w:cs="仿宋_GB2312" w:eastAsia="仿宋_GB2312"/>
                <w:sz w:val="21"/>
              </w:rPr>
              <w:t>办理工程相关施工手续，确保工程符合国家及地方相关施工管理规定，保证合法合规施工。</w:t>
            </w:r>
          </w:p>
          <w:p>
            <w:pPr>
              <w:pStyle w:val="null3"/>
              <w:ind w:firstLine="420"/>
            </w:pPr>
            <w:r>
              <w:rPr>
                <w:rFonts w:ascii="仿宋_GB2312" w:hAnsi="仿宋_GB2312" w:cs="仿宋_GB2312" w:eastAsia="仿宋_GB2312"/>
                <w:sz w:val="21"/>
              </w:rPr>
              <w:t>在施工期间，中标供应商必须在不影响医院的正常医疗秩序的条件下施工，施工方应保障医院内人员安全。</w:t>
            </w:r>
          </w:p>
          <w:p>
            <w:pPr>
              <w:pStyle w:val="null3"/>
              <w:ind w:firstLine="420"/>
            </w:pPr>
            <w:r>
              <w:rPr>
                <w:rFonts w:ascii="仿宋_GB2312" w:hAnsi="仿宋_GB2312" w:cs="仿宋_GB2312" w:eastAsia="仿宋_GB2312"/>
                <w:sz w:val="21"/>
              </w:rPr>
              <w:t>加强安全措施，并对施工人员进行安全教育。施工人员必须持证上岗。</w:t>
            </w:r>
          </w:p>
          <w:p>
            <w:pPr>
              <w:pStyle w:val="null3"/>
              <w:ind w:firstLine="420"/>
            </w:pPr>
            <w:r>
              <w:rPr>
                <w:rFonts w:ascii="仿宋_GB2312" w:hAnsi="仿宋_GB2312" w:cs="仿宋_GB2312" w:eastAsia="仿宋_GB2312"/>
                <w:sz w:val="21"/>
              </w:rPr>
              <w:t>施工单位应充分考虑项目施工地点和工程的特殊性，必要时充分做好到封闭施工</w:t>
            </w:r>
            <w:r>
              <w:rPr>
                <w:rFonts w:ascii="仿宋_GB2312" w:hAnsi="仿宋_GB2312" w:cs="仿宋_GB2312" w:eastAsia="仿宋_GB2312"/>
                <w:sz w:val="21"/>
              </w:rPr>
              <w:t>。</w:t>
            </w:r>
          </w:p>
          <w:p>
            <w:pPr>
              <w:pStyle w:val="null3"/>
              <w:ind w:firstLine="420"/>
            </w:pPr>
            <w:r>
              <w:rPr>
                <w:rFonts w:ascii="仿宋_GB2312" w:hAnsi="仿宋_GB2312" w:cs="仿宋_GB2312" w:eastAsia="仿宋_GB2312"/>
                <w:sz w:val="21"/>
              </w:rPr>
              <w:t>施工单位应对施工现场的安全负责，因施工或本合同履行造成采购人、施工单位、双方工作人员或任意第三人人身损害或财产损失的，由施工单位承担全部责任，与采购人无关，若采购人因此遭到索赔的，有权向施工单位追偿，且采购人有权直接从未付工程款中扣除相关费用。</w:t>
            </w:r>
          </w:p>
          <w:p>
            <w:pPr>
              <w:pStyle w:val="null3"/>
            </w:pPr>
            <w:r>
              <w:rPr>
                <w:rFonts w:ascii="仿宋_GB2312" w:hAnsi="仿宋_GB2312" w:cs="仿宋_GB2312" w:eastAsia="仿宋_GB2312"/>
                <w:sz w:val="21"/>
                <w:b/>
              </w:rPr>
              <w:t>五、商务要求</w:t>
            </w:r>
          </w:p>
          <w:p>
            <w:pPr>
              <w:pStyle w:val="null3"/>
            </w:pPr>
            <w:r>
              <w:rPr>
                <w:rFonts w:ascii="仿宋_GB2312" w:hAnsi="仿宋_GB2312" w:cs="仿宋_GB2312" w:eastAsia="仿宋_GB2312"/>
                <w:sz w:val="21"/>
              </w:rPr>
              <w:t>1、本项目为交钥匙工程。</w:t>
            </w:r>
          </w:p>
          <w:p>
            <w:pPr>
              <w:pStyle w:val="null3"/>
            </w:pPr>
            <w:r>
              <w:rPr>
                <w:rFonts w:ascii="仿宋_GB2312" w:hAnsi="仿宋_GB2312" w:cs="仿宋_GB2312" w:eastAsia="仿宋_GB2312"/>
                <w:sz w:val="21"/>
              </w:rPr>
              <w:t>2、款项结算：</w:t>
            </w:r>
          </w:p>
          <w:p>
            <w:pPr>
              <w:pStyle w:val="null3"/>
            </w:pPr>
            <w:r>
              <w:rPr>
                <w:rFonts w:ascii="仿宋_GB2312" w:hAnsi="仿宋_GB2312" w:cs="仿宋_GB2312" w:eastAsia="仿宋_GB2312"/>
                <w:sz w:val="21"/>
              </w:rPr>
              <w:t>（</w:t>
            </w:r>
            <w:r>
              <w:rPr>
                <w:rFonts w:ascii="仿宋_GB2312" w:hAnsi="仿宋_GB2312" w:cs="仿宋_GB2312" w:eastAsia="仿宋_GB2312"/>
                <w:sz w:val="21"/>
              </w:rPr>
              <w:t>1）合同签订后不付预付款；</w:t>
            </w:r>
          </w:p>
          <w:p>
            <w:pPr>
              <w:pStyle w:val="null3"/>
            </w:pPr>
            <w:r>
              <w:rPr>
                <w:rFonts w:ascii="仿宋_GB2312" w:hAnsi="仿宋_GB2312" w:cs="仿宋_GB2312" w:eastAsia="仿宋_GB2312"/>
                <w:sz w:val="21"/>
              </w:rPr>
              <w:t>（</w:t>
            </w:r>
            <w:r>
              <w:rPr>
                <w:rFonts w:ascii="仿宋_GB2312" w:hAnsi="仿宋_GB2312" w:cs="仿宋_GB2312" w:eastAsia="仿宋_GB2312"/>
                <w:sz w:val="21"/>
              </w:rPr>
              <w:t>2）工程竣工、验收合格后30个工作日内支付合同总价款的80%，审计结束后按审计结果支付至</w:t>
            </w:r>
            <w:r>
              <w:rPr>
                <w:rFonts w:ascii="仿宋_GB2312" w:hAnsi="仿宋_GB2312" w:cs="仿宋_GB2312" w:eastAsia="仿宋_GB2312"/>
                <w:sz w:val="21"/>
              </w:rPr>
              <w:t>97%</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3）自验收合格后</w:t>
            </w:r>
            <w:r>
              <w:rPr>
                <w:rFonts w:ascii="仿宋_GB2312" w:hAnsi="仿宋_GB2312" w:cs="仿宋_GB2312" w:eastAsia="仿宋_GB2312"/>
                <w:sz w:val="21"/>
              </w:rPr>
              <w:t>2</w:t>
            </w:r>
            <w:r>
              <w:rPr>
                <w:rFonts w:ascii="仿宋_GB2312" w:hAnsi="仿宋_GB2312" w:cs="仿宋_GB2312" w:eastAsia="仿宋_GB2312"/>
                <w:sz w:val="21"/>
              </w:rPr>
              <w:t>年内无工程质量问题后。甲方于</w:t>
            </w:r>
            <w:r>
              <w:rPr>
                <w:rFonts w:ascii="仿宋_GB2312" w:hAnsi="仿宋_GB2312" w:cs="仿宋_GB2312" w:eastAsia="仿宋_GB2312"/>
                <w:sz w:val="21"/>
              </w:rPr>
              <w:t>30个工作日内一次性无息付清余款。</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质量合格，并符合现行的国家标准和国家行政部门颁布的法律法规、规章制度等</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在施工期间，成交供应商必须注意院内人员安全，加强安全措施，并对施工人员进行安全教育。施工人员必须持证上岗。因施工人工作的特殊性，要求成交供应商在施工中做到封闭性施工。不得影响医护人员和患者正常就医。</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（一）具有独立承担民事责任的能力。提供注册登记凭证（营业执照、其他组织经营的合法凭证，自然人的提供身份证明文件）。 （二）具有良好的商业信誉和健全的财务会计制度。提供2024年度经审计的财务报告（包括四表一注，即资产负债表、利润表、现金流量表、所有者权益变动表及附注、且应当经过注册会计师行业统一监管平台备案赋码）；/或在磋商日期前六个月内其基本开户银行出具的资信证明（附《基本存款账户信息》或《银行开户许可证》复印件）；以上2种形式的资料提供任何一种即可。 （三）具有履行合同所必需的设备和专业技术能力。提供声明文件。 （四）具有依法缴纳税收的良好记录。提供缴费所属日期为磋商时间前12个月内任意一个月（磋商时间当月不计入）的增值税（或所得税）缴费凭据或税务机关出具的完税证明/在法规范围内不需提供的应出具书面说明和证明文件； （五）具有依法缴纳社会保障资金的良好记录。提供缴费所属日期为磋商时间前12个月内任意一个月（磋商时间当月不计入）的缴费凭据或社保机关出具的缴费证明/在法规范围内不需提供的应出具书面说明和证明文件。 （六）参加政府采购活动前3年内在经营活动中没有重大违法记录的书面声明。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提供2024年度经审计的财务报告（包括四表一注，即资产负债表、利润表、现金流量表、所有者权益变动表及附注、且应当经过注册会计师行业统一监管平台备案赋码）；/或在磋商日期前六个月内其基本开户银行出具的资信证明（附《基本存款账户信息》或《银行开户许可证》复印件）；以上2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企业资质证书</w:t>
            </w:r>
          </w:p>
        </w:tc>
        <w:tc>
          <w:tcPr>
            <w:tcW w:type="dxa" w:w="3322"/>
          </w:tcPr>
          <w:p>
            <w:pPr>
              <w:pStyle w:val="null3"/>
            </w:pPr>
            <w:r>
              <w:rPr>
                <w:rFonts w:ascii="仿宋_GB2312" w:hAnsi="仿宋_GB2312" w:cs="仿宋_GB2312" w:eastAsia="仿宋_GB2312"/>
              </w:rPr>
              <w:t>供应商具有建筑工程施工总承包二级(含二级)以上资质或市政公用工程施工总承包资质二级(含二级)以上资质且具备有效的安全生产许可证。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拟派项目经理要求</w:t>
            </w:r>
          </w:p>
        </w:tc>
        <w:tc>
          <w:tcPr>
            <w:tcW w:type="dxa" w:w="3322"/>
          </w:tcPr>
          <w:p>
            <w:pPr>
              <w:pStyle w:val="null3"/>
            </w:pPr>
            <w:r>
              <w:rPr>
                <w:rFonts w:ascii="仿宋_GB2312" w:hAnsi="仿宋_GB2312" w:cs="仿宋_GB2312" w:eastAsia="仿宋_GB2312"/>
              </w:rPr>
              <w:t>拟派项目经理须具备合法有效的建筑工程专业二级(含)以上或市政公用工程专业二级(含)以上注册建造师执业资格，同时具备有效的安全生产考核合格证书(安全B证)，在本单位注册且无在建工程。</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法定代表人授权书及被授权人本单位证明</w:t>
            </w:r>
          </w:p>
        </w:tc>
        <w:tc>
          <w:tcPr>
            <w:tcW w:type="dxa" w:w="3322"/>
          </w:tcPr>
          <w:p>
            <w:pPr>
              <w:pStyle w:val="null3"/>
            </w:pPr>
            <w:r>
              <w:rPr>
                <w:rFonts w:ascii="仿宋_GB2312" w:hAnsi="仿宋_GB2312" w:cs="仿宋_GB2312" w:eastAsia="仿宋_GB2312"/>
              </w:rPr>
              <w:t>供应商应授权合法的人员参加投标，其中法定代表人直接参加的须出具法定代表人身份证并与营业执照上信息一致，法定代表人授权代表参加的须出具法定代表人授权书及被授权人本单位证明 (近6个月内任意1个月社保缴纳证明)。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（一）评审中出现下列情形之一的，评审委员会应当启动异常低价响应审查程序：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4.评审委员会基于专业判断，认为供应商报价过低，有可能影响产品质量或者不能诚信履约的其他情形。 （二）评审委员会启动异常低价响应审查后，属于前述第1项至第4项情形的，应当要求相关供应商在评审现场规定的时间内对响应价格作出解释，提供项目具体成本测算等与报价合理性相关的书面说明及必要的证明材料，包括但不限于原材料成本、人工成本、制造费用等。其中，属于第3项情形，供应商已随响应文件一并提交相关书面说明及必要的证明材料的，在评审现场可不再重复提交。 评审委员会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评审委员会应当将其作为无效响应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投标文件的完整性、有效性、响应性</w:t>
            </w:r>
          </w:p>
        </w:tc>
        <w:tc>
          <w:tcPr>
            <w:tcW w:type="dxa" w:w="3322"/>
          </w:tcPr>
          <w:p>
            <w:pPr>
              <w:pStyle w:val="null3"/>
            </w:pPr>
            <w:r>
              <w:rPr>
                <w:rFonts w:ascii="仿宋_GB2312" w:hAnsi="仿宋_GB2312" w:cs="仿宋_GB2312" w:eastAsia="仿宋_GB2312"/>
              </w:rPr>
              <w:t>响应文件是否按照磋商文件要求的格式编写。响应文件的签署、加盖印章是否有效。投标报价是否未超过最高限价；响应有效期是否符合磋商文件的要求；是否满足磋商文件的实质性要求。</w:t>
            </w:r>
          </w:p>
        </w:tc>
        <w:tc>
          <w:tcPr>
            <w:tcW w:type="dxa" w:w="1661"/>
          </w:tcPr>
          <w:p>
            <w:pPr>
              <w:pStyle w:val="null3"/>
            </w:pPr>
            <w:r>
              <w:rPr>
                <w:rFonts w:ascii="仿宋_GB2312" w:hAnsi="仿宋_GB2312" w:cs="仿宋_GB2312" w:eastAsia="仿宋_GB2312"/>
              </w:rPr>
              <w:t>响应文件封面 响应方案说明书.docx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供应商提供针对本项目施工方案。 施工方案科学合理、合理性及针对性强，完全满足项目要求的得10分；施工方案科学合理、合理性及针对性较强，基本满足项目要求的得8分；施工方案稍有欠缺，有一定的可行性，但能够满足项目需求的得6分；施工方案欠缺，可行性较复杂，能达到项目需求的得4分；施工方案有较多欠缺，无法保证项目实施的得3分；施工方案内容空泛，不利于项目实施得2分；未提供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文明施工的技术组织措施</w:t>
            </w:r>
          </w:p>
        </w:tc>
        <w:tc>
          <w:tcPr>
            <w:tcW w:type="dxa" w:w="2492"/>
          </w:tcPr>
          <w:p>
            <w:pPr>
              <w:pStyle w:val="null3"/>
            </w:pPr>
            <w:r>
              <w:rPr>
                <w:rFonts w:ascii="仿宋_GB2312" w:hAnsi="仿宋_GB2312" w:cs="仿宋_GB2312" w:eastAsia="仿宋_GB2312"/>
              </w:rPr>
              <w:t>供应商针对本项目特点制定确保文明施工的技术组织措施。 组织措施科学合理、合理性及针对性强，完全满足项目要求的得6分；组织措施稍有欠缺，有一定的可行性，但能够满足项目需求的得5分；组织措施欠缺，可行性较复杂，能达到项目需求的得4分；组织措施有较多欠缺，无法保证项目实施的得3分；组织措施内容空泛，不利于项目实施得2分；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工程质量管理体系及保证措施</w:t>
            </w:r>
          </w:p>
        </w:tc>
        <w:tc>
          <w:tcPr>
            <w:tcW w:type="dxa" w:w="2492"/>
          </w:tcPr>
          <w:p>
            <w:pPr>
              <w:pStyle w:val="null3"/>
            </w:pPr>
            <w:r>
              <w:rPr>
                <w:rFonts w:ascii="仿宋_GB2312" w:hAnsi="仿宋_GB2312" w:cs="仿宋_GB2312" w:eastAsia="仿宋_GB2312"/>
              </w:rPr>
              <w:t>供应商针对本项目制定确保工程质量的技术组织措施及质量技术管理班子、制度。 组织措施科学合理、合理性及针对性强，完全满足项目要求的得8分；组织措施科学合理、合理性及针对性较强，基本满足项目要求 的得7分；组织措施稍有欠缺，有一定的可行性，但能够满足项目需求的得6分；组织措施欠缺，可行性较复杂，能达到项目需求的得5分；组织措施有较多欠缺，无法保证项目实施的得3分；组织措施内容空泛，不利于项目实施得2分；未提供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安全生产管理体系及保证措施</w:t>
            </w:r>
          </w:p>
        </w:tc>
        <w:tc>
          <w:tcPr>
            <w:tcW w:type="dxa" w:w="2492"/>
          </w:tcPr>
          <w:p>
            <w:pPr>
              <w:pStyle w:val="null3"/>
            </w:pPr>
            <w:r>
              <w:rPr>
                <w:rFonts w:ascii="仿宋_GB2312" w:hAnsi="仿宋_GB2312" w:cs="仿宋_GB2312" w:eastAsia="仿宋_GB2312"/>
              </w:rPr>
              <w:t>供应商针对本项目制定确保施工安全的技术组织措施。 组织措施科学合理、合理性及针对性强，完全满足项目要求的得7分；组织措施稍有欠缺，有一定的可行性，但能够满足项目需求的得5分；组织措施欠缺，可行性较复杂，能达到项目需求的得4分；组织措施有较多欠缺，无法保证项目实施的得3分；组织措施内容空泛，不利于项目实施得2分；未提供的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供应商针对本项目制定应急预案。 应急预案科学合理、合理性及针对性强，完全满足项目要求的得6分；应急预案稍有欠缺，有一定的可行性，但能够满足项目需求的得5分；应急预案欠缺，可行性一般，能达到项目需求的得4分；应急预案有较多欠缺，无法保证项目实施的得3分；应急预案内容空泛，不利于项目实施得2分；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拟投入本项目的主要材料</w:t>
            </w:r>
          </w:p>
        </w:tc>
        <w:tc>
          <w:tcPr>
            <w:tcW w:type="dxa" w:w="2492"/>
          </w:tcPr>
          <w:p>
            <w:pPr>
              <w:pStyle w:val="null3"/>
            </w:pPr>
            <w:r>
              <w:rPr>
                <w:rFonts w:ascii="仿宋_GB2312" w:hAnsi="仿宋_GB2312" w:cs="仿宋_GB2312" w:eastAsia="仿宋_GB2312"/>
              </w:rPr>
              <w:t>供应商针对本项目拟投入主要材料产品选型合理、环保、为市场主流产品，满足磋商文件要求、本项目实际要求、国家及行业相关质量规定，附相关证明材料。 拟投的主要材料清单科学、合理完整，实用性强，完整性强，完全满足本项目需求的得10分；拟投的主要材料清单基本合理，实用性较强，完整性较强，基本满足本项目需求得8分；拟投的主要材料清单完整，实用性较差，能达到本项目需求得6分；拟投的主要材料清单有欠缺，实用性及完整性较差 得4分；拟投的主要材料清单不合理，不完整，不满足本项目需求 的2分；未提供的得 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施工机械设备配备投入计划</w:t>
            </w:r>
          </w:p>
        </w:tc>
        <w:tc>
          <w:tcPr>
            <w:tcW w:type="dxa" w:w="2492"/>
          </w:tcPr>
          <w:p>
            <w:pPr>
              <w:pStyle w:val="null3"/>
            </w:pPr>
            <w:r>
              <w:rPr>
                <w:rFonts w:ascii="仿宋_GB2312" w:hAnsi="仿宋_GB2312" w:cs="仿宋_GB2312" w:eastAsia="仿宋_GB2312"/>
              </w:rPr>
              <w:t>供应商针对本项目制定施工机械设备配备投入计划。 计划科学合理、合理性及针对性强，完全满足项目要求的得7分；计划完整且具有针对性，满足项目要求的得5分； 计划稍有欠缺，有一定的可行性，能够满足项目需求的得3分；计划内容空泛，不利于项目实施的得2分；计划缺失严重，无法保证项目实施的得1分；未提供的得 0 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施工网络图、 横道图或工期进度表</w:t>
            </w:r>
          </w:p>
        </w:tc>
        <w:tc>
          <w:tcPr>
            <w:tcW w:type="dxa" w:w="2492"/>
          </w:tcPr>
          <w:p>
            <w:pPr>
              <w:pStyle w:val="null3"/>
            </w:pPr>
            <w:r>
              <w:rPr>
                <w:rFonts w:ascii="仿宋_GB2312" w:hAnsi="仿宋_GB2312" w:cs="仿宋_GB2312" w:eastAsia="仿宋_GB2312"/>
              </w:rPr>
              <w:t>供应商针对本项目制定施工网络图、横道图或工期进度表。 施工网络图、横道图或工期进度表科学合理、合理性及针对性强，完全满足项目要求的得6分；有施工网络图、横道图或工期进度表，合理可行，满足项目要求的得5分；施工网络图、横道图或工期进度表稍 有欠缺，有一定的可行性，但能够满足项目需求的得 4分；施工网 络图、横道图或工期进度表缺项、漏项，表述混乱且无法保证项目 实施的得 2 分；未提供的得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项目部人员</w:t>
            </w:r>
          </w:p>
        </w:tc>
        <w:tc>
          <w:tcPr>
            <w:tcW w:type="dxa" w:w="2492"/>
          </w:tcPr>
          <w:p>
            <w:pPr>
              <w:pStyle w:val="null3"/>
            </w:pPr>
            <w:r>
              <w:rPr>
                <w:rFonts w:ascii="仿宋_GB2312" w:hAnsi="仿宋_GB2312" w:cs="仿宋_GB2312" w:eastAsia="仿宋_GB2312"/>
              </w:rPr>
              <w:t>供应商提供拟派项目部人员的职称、注册执业资格、拟任岗位等基本情况。 人员岗位配备充足、齐全、科学合理，得5分；人员团队配备基本 科学合理得4分；人员团队配备齐全，证件有欠缺得3分；人员配备不完善，证件缺少得2分；人员配备欠缺，分工不合理，无人员证件得1分；未提供的得0分。 评审依据：评审时以供应商提供的拟派项目部人员相关执业证书、学历证、身份证等证件的扫描件或复印件为准。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供应商提供2023年1月起至今（以合同签订时间为准）类似业绩证明（以合同复印件为准），每一项得1分，最高得5分。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经资格审查、符合性审查合格的响应文件，其磋商报价为有效磋商报价。 满足磋商文件要求且最终磋商报价最低的磋商报价为评标基准价，其价格分为满分。价格分按照下列公式计算。 报价得分=（评标基准价/有效报价）×价格权重（30%）×100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详见附件：响应方案说明书.docx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