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版本号：SCZC2026-CS-0942-00120260418002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2025年第一批省级农业专项资金（市场营销）项目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SCZC2026-CS-0942-001</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2025年第一批省级农业专项资金（市场营销）项目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SCZC2026-CS-0942-001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2025年第一批省级农业专项资金（市场营销）项目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西安农业产业品牌提升计划，组织区县（开发区）及农业新型经营主体、农业产业化龙头企业依托国家重点展会、区域性重点展会或结合我市特色农产品上市时节开展西安市特色农产品精准产销对接活动2场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采购包1（2025年第一批省级农业专项资金项目（市场营销）项目）：属于专门面向中小企业采购。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供应商特定资格条件：法定代表人直接参加磋商的，须出具法人身份证，并与营业执照上信息一致。法定代表人授权代表参加磋商的，须出具法定代表人授权书、授权代表身份证及被授权人本单位证明（养老保险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西安市农业农村局（本级）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029-67097567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代理服务费收费标准：代理服务费参照《国家计委关于印发&lt;招标代理服务收费管理暂行办法&gt;的通知》（计价格[2002]1980号）规定标准收取，最低不少于人民币6000元。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组织相关区县（开发区）、龙头企业、农业生产经营主体等开展开展产销对接、提振大宗农产品消费活动等常规性产销对接活动</w:t>
      </w:r>
      <w:r>
        <w:rPr>
          <w:rFonts w:ascii="仿宋_GB2312" w:hAnsi="仿宋_GB2312" w:cs="仿宋_GB2312" w:eastAsia="仿宋_GB2312"/>
        </w:rPr>
        <w:t>2场次，通过现场展览展示、产品品鉴试吃、零售、采购商现场洽谈及合作成果展示座谈交流会等形式，结合季节时令，重点推介我市特色优势农产品。同时，组织采购商现场洽谈以及大型农批综合市场实地考察等配套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2025年第一批省级农业专项资金（市场营销）项目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标的名称：2025年第一批省级农业专项资金（市场营销）项目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35"/>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为落实西安农业产业品牌提升计划，组织区县（开发区）及农业新型经营主体、农业产业化龙头企业依托国家重点展会、区域性重点展会或结合我市特色农产品上市时节开展西安市特色农产品精准产销对接活动2场次。</w:t>
            </w:r>
          </w:p>
          <w:p>
            <w:pPr>
              <w:pStyle w:val="null3"/>
              <w:ind w:left="435"/>
              <w:jc w:val="both"/>
            </w:pPr>
            <w:r>
              <w:rPr>
                <w:rFonts w:ascii="仿宋_GB2312" w:hAnsi="仿宋_GB2312" w:cs="仿宋_GB2312" w:eastAsia="仿宋_GB2312"/>
                <w:sz w:val="20"/>
                <w:b/>
              </w:rPr>
              <w:t>二、服务内容及要求</w:t>
            </w:r>
          </w:p>
          <w:p>
            <w:pPr>
              <w:pStyle w:val="null3"/>
              <w:spacing w:before="30"/>
              <w:ind w:right="135" w:firstLine="396"/>
              <w:jc w:val="both"/>
            </w:pPr>
            <w:r>
              <w:rPr>
                <w:rFonts w:ascii="仿宋_GB2312" w:hAnsi="仿宋_GB2312" w:cs="仿宋_GB2312" w:eastAsia="仿宋_GB2312"/>
                <w:sz w:val="20"/>
              </w:rPr>
              <w:t>（一）开展西安市特色农产品精准产销对接活动2场次，策划整体活动方案并组织实施，活动主要围绕西安市特色农产品展览展示、座谈交流、市场考察、宣传推介、资源对接、合作意向签约及成果展示等。参与活动的农产品企业不少于15家，参与人数不少于60人。</w:t>
            </w:r>
          </w:p>
          <w:p>
            <w:pPr>
              <w:pStyle w:val="null3"/>
              <w:spacing w:before="30"/>
              <w:ind w:right="135" w:firstLine="396"/>
              <w:jc w:val="both"/>
            </w:pPr>
            <w:r>
              <w:rPr>
                <w:rFonts w:ascii="仿宋_GB2312" w:hAnsi="仿宋_GB2312" w:cs="仿宋_GB2312" w:eastAsia="仿宋_GB2312"/>
                <w:sz w:val="20"/>
              </w:rPr>
              <w:t>（二）负责活动所需所有场景的场地租赁、设计搭建及氛围营造；</w:t>
            </w:r>
          </w:p>
          <w:p>
            <w:pPr>
              <w:pStyle w:val="null3"/>
              <w:spacing w:before="30"/>
              <w:ind w:right="135" w:firstLine="396"/>
              <w:jc w:val="both"/>
            </w:pPr>
            <w:r>
              <w:rPr>
                <w:rFonts w:ascii="仿宋_GB2312" w:hAnsi="仿宋_GB2312" w:cs="仿宋_GB2312" w:eastAsia="仿宋_GB2312"/>
                <w:sz w:val="20"/>
              </w:rPr>
              <w:t>（三）负责与参与活动的组织、平台、本地企业做好商务对接。</w:t>
            </w:r>
          </w:p>
          <w:p>
            <w:pPr>
              <w:pStyle w:val="null3"/>
              <w:jc w:val="both"/>
            </w:pPr>
            <w:r>
              <w:rPr>
                <w:rFonts w:ascii="仿宋_GB2312" w:hAnsi="仿宋_GB2312" w:cs="仿宋_GB2312" w:eastAsia="仿宋_GB2312"/>
                <w:sz w:val="20"/>
                <w:b/>
              </w:rPr>
              <w:t>三、商务要求</w:t>
            </w:r>
          </w:p>
          <w:p>
            <w:pPr>
              <w:pStyle w:val="null3"/>
              <w:ind w:firstLine="400"/>
              <w:jc w:val="both"/>
            </w:pPr>
            <w:r>
              <w:rPr>
                <w:rFonts w:ascii="仿宋_GB2312" w:hAnsi="仿宋_GB2312" w:cs="仿宋_GB2312" w:eastAsia="仿宋_GB2312"/>
                <w:sz w:val="20"/>
              </w:rPr>
              <w:t>（一）服务期：自合同签订之日起至2026年 12 月 31 日</w:t>
            </w:r>
          </w:p>
          <w:p>
            <w:pPr>
              <w:pStyle w:val="null3"/>
              <w:ind w:firstLine="400"/>
              <w:jc w:val="both"/>
            </w:pPr>
            <w:r>
              <w:rPr>
                <w:rFonts w:ascii="仿宋_GB2312" w:hAnsi="仿宋_GB2312" w:cs="仿宋_GB2312" w:eastAsia="仿宋_GB2312"/>
                <w:sz w:val="20"/>
              </w:rPr>
              <w:t>（二）款项结算</w:t>
            </w:r>
          </w:p>
          <w:p>
            <w:pPr>
              <w:pStyle w:val="null3"/>
              <w:ind w:firstLine="400"/>
              <w:jc w:val="both"/>
            </w:pPr>
            <w:r>
              <w:rPr>
                <w:rFonts w:ascii="仿宋_GB2312" w:hAnsi="仿宋_GB2312" w:cs="仿宋_GB2312" w:eastAsia="仿宋_GB2312"/>
                <w:sz w:val="20"/>
              </w:rPr>
              <w:t>（1）由甲方负责结算，在付款前，乙方须开具等额发票。</w:t>
            </w:r>
          </w:p>
          <w:p>
            <w:pPr>
              <w:pStyle w:val="null3"/>
              <w:ind w:firstLine="400"/>
              <w:jc w:val="both"/>
            </w:pPr>
            <w:r>
              <w:rPr>
                <w:rFonts w:ascii="仿宋_GB2312" w:hAnsi="仿宋_GB2312" w:cs="仿宋_GB2312" w:eastAsia="仿宋_GB2312"/>
                <w:sz w:val="20"/>
              </w:rPr>
              <w:t>（2）合同签订后，达到付款条件起30日内，支付合同总金额的40%；合同按期执行 2次活动后，达到付款条件起 20日内，支付合同总金额的40%；</w:t>
            </w:r>
            <w:r>
              <w:rPr>
                <w:rFonts w:ascii="仿宋_GB2312" w:hAnsi="仿宋_GB2312" w:cs="仿宋_GB2312" w:eastAsia="仿宋_GB2312"/>
                <w:sz w:val="20"/>
              </w:rPr>
              <w:t>经验收合格后，</w:t>
            </w:r>
            <w:r>
              <w:rPr>
                <w:rFonts w:ascii="仿宋_GB2312" w:hAnsi="仿宋_GB2312" w:cs="仿宋_GB2312" w:eastAsia="仿宋_GB2312"/>
                <w:sz w:val="20"/>
              </w:rPr>
              <w:t xml:space="preserve">达到付款条件起 20日内，支付合同总金额 的 20 </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四、验收</w:t>
            </w:r>
          </w:p>
          <w:p>
            <w:pPr>
              <w:pStyle w:val="null3"/>
              <w:ind w:firstLine="400"/>
              <w:jc w:val="both"/>
            </w:pPr>
            <w:r>
              <w:rPr>
                <w:rFonts w:ascii="仿宋_GB2312" w:hAnsi="仿宋_GB2312" w:cs="仿宋_GB2312" w:eastAsia="仿宋_GB2312"/>
                <w:sz w:val="20"/>
              </w:rPr>
              <w:t>（一）供应商提供的服务最终验收达不到磋商文件要求和磋商响应文件承诺及国家或行业标准，或在使用中发现采购人不能容忍的缺陷等，将视为验收不合格，供应商应在采购人要求的时间内无条件完善或要求赔付采购人损失。</w:t>
            </w:r>
          </w:p>
          <w:p>
            <w:pPr>
              <w:pStyle w:val="null3"/>
              <w:ind w:firstLine="400"/>
              <w:jc w:val="both"/>
            </w:pPr>
            <w:r>
              <w:rPr>
                <w:rFonts w:ascii="仿宋_GB2312" w:hAnsi="仿宋_GB2312" w:cs="仿宋_GB2312" w:eastAsia="仿宋_GB2312"/>
                <w:sz w:val="20"/>
              </w:rPr>
              <w:t>（二）若发现服务商有弄虚作假的，及在项目实施阶段故意或随意夸大服务，本项目合同解除，服务商赔偿采购人相应的损失。</w:t>
            </w:r>
          </w:p>
          <w:p>
            <w:pPr>
              <w:pStyle w:val="null3"/>
              <w:ind w:firstLine="400"/>
              <w:jc w:val="both"/>
            </w:pPr>
            <w:r>
              <w:rPr>
                <w:rFonts w:ascii="仿宋_GB2312" w:hAnsi="仿宋_GB2312" w:cs="仿宋_GB2312" w:eastAsia="仿宋_GB2312"/>
                <w:sz w:val="20"/>
              </w:rPr>
              <w:t>（三）验收标准：按磋商文件、磋商响应文件等服务指标进行逐项验收，各项指标均应符合验收标准及要求。</w:t>
            </w:r>
          </w:p>
          <w:p>
            <w:pPr>
              <w:pStyle w:val="null3"/>
              <w:ind w:firstLine="400"/>
              <w:jc w:val="both"/>
            </w:pPr>
            <w:r>
              <w:rPr>
                <w:rFonts w:ascii="仿宋_GB2312" w:hAnsi="仿宋_GB2312" w:cs="仿宋_GB2312" w:eastAsia="仿宋_GB2312"/>
                <w:sz w:val="20"/>
              </w:rPr>
              <w:t>（四）验收合格后，填写验收单，双方盖章、签字生效。</w:t>
            </w:r>
          </w:p>
          <w:p>
            <w:pPr>
              <w:pStyle w:val="null3"/>
              <w:ind w:firstLine="400"/>
              <w:jc w:val="both"/>
            </w:pPr>
            <w:r>
              <w:rPr>
                <w:rFonts w:ascii="仿宋_GB2312" w:hAnsi="仿宋_GB2312" w:cs="仿宋_GB2312" w:eastAsia="仿宋_GB2312"/>
                <w:sz w:val="20"/>
              </w:rPr>
              <w:t>（五）验收依据：</w:t>
            </w:r>
          </w:p>
          <w:p>
            <w:pPr>
              <w:pStyle w:val="null3"/>
              <w:ind w:firstLine="400"/>
              <w:jc w:val="both"/>
            </w:pPr>
            <w:r>
              <w:rPr>
                <w:rFonts w:ascii="仿宋_GB2312" w:hAnsi="仿宋_GB2312" w:cs="仿宋_GB2312" w:eastAsia="仿宋_GB2312"/>
                <w:sz w:val="20"/>
              </w:rPr>
              <w:t>（1）合同文本、合同附件、竞争性磋商文件、竞争性磋商响应文件。</w:t>
            </w:r>
          </w:p>
          <w:p>
            <w:pPr>
              <w:pStyle w:val="null3"/>
              <w:ind w:firstLine="400"/>
              <w:jc w:val="both"/>
            </w:pPr>
            <w:r>
              <w:rPr>
                <w:rFonts w:ascii="仿宋_GB2312" w:hAnsi="仿宋_GB2312" w:cs="仿宋_GB2312" w:eastAsia="仿宋_GB2312"/>
                <w:sz w:val="20"/>
              </w:rPr>
              <w:t>（2）国家和行业制定的相应的标准和规范。</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、违约责任</w:t>
            </w:r>
          </w:p>
          <w:p>
            <w:pPr>
              <w:pStyle w:val="null3"/>
              <w:ind w:left="435"/>
              <w:jc w:val="both"/>
            </w:pPr>
            <w:r>
              <w:rPr>
                <w:rFonts w:ascii="仿宋_GB2312" w:hAnsi="仿宋_GB2312" w:cs="仿宋_GB2312" w:eastAsia="仿宋_GB2312"/>
                <w:sz w:val="20"/>
              </w:rPr>
              <w:t>依照《中华人民共和国民法典》、《中华人民共和国政府采购法》及其他有关法律、行政法规，遵循平等、自愿、公平和诚实信用的原则。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 12 月 31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合同按期执行 2次活动后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报价表 响应函 资格证明文件.docx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报价表 响应函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商务技术文件.docx 商务应答表 标的清单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整体策划方案</w:t>
            </w:r>
          </w:p>
        </w:tc>
        <w:tc>
          <w:tcPr>
            <w:tcW w:type="dxa" w:w="2492"/>
          </w:tcPr>
          <w:p>
            <w:pPr>
              <w:pStyle w:val="null3"/>
            </w:pPr>
            <w:r>
              <w:rPr>
                <w:rFonts w:ascii="仿宋_GB2312" w:hAnsi="仿宋_GB2312" w:cs="仿宋_GB2312" w:eastAsia="仿宋_GB2312"/>
              </w:rPr>
              <w:t>供应商针对本项目提供的服务方案（包括但不限于①项目的理解程度及合理可行的工作流程，②明确的服务目标等），内容完整科学，符合项目实际及需求，可操作性强。 满足采购文件要求内容无缺陷：上述方案内容每项5分，共计10分，方案内容每存在1处缺陷：扣1分，扣完为止；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供应商针对本项目提供具体可行的服务方案，包括但不限于内容： ①西安市特色农产品展览展示 ②座谈交流 ③市场考察 ④宣传推介 ⑤资源对接 ⑥合作意向签约 ⑦成果展示 根据上述服务方案的完整性、执行专业性、资源匹配度、成果保障力、服务保障性等内容，每项方案得5分，每项方案内容每存在1处缺陷：扣1分，扣完为止，共计35分，；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场地搭建方案</w:t>
            </w:r>
          </w:p>
        </w:tc>
        <w:tc>
          <w:tcPr>
            <w:tcW w:type="dxa" w:w="2492"/>
          </w:tcPr>
          <w:p>
            <w:pPr>
              <w:pStyle w:val="null3"/>
            </w:pPr>
            <w:r>
              <w:rPr>
                <w:rFonts w:ascii="仿宋_GB2312" w:hAnsi="仿宋_GB2312" w:cs="仿宋_GB2312" w:eastAsia="仿宋_GB2312"/>
              </w:rPr>
              <w:t>供应商针对本项目提供具体可行的场地搭建方案，包括但不限于所有场景的①场地租赁及设计搭建、②氛围营造③安全保障等，有完整的方案及措施，方案具体可行，针对性强。 上述方案内容每项5分，共计15分，方案内容每存在1处缺陷：扣1分，扣完为止；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针对本项目配备项目负责人1名，全面统筹项目实施、进度、质量、协调对接工作。 配有技术服务负责人，负责方案策划、实施标准、质量管控、服务保障等。配备专职人员负责现场执行等工作，人员分工明确，配制科学合理，保障项目实施顺利。 上述人员配备方案及组织安排得10分，方案内容每存在1处缺陷：扣1分，扣完为止；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供应商针对本项目承诺负责与参与活动的组织、平台、本地企业做好商务对接，承诺内容完整、具体可行得10分，每存在1处缺陷：扣2分，扣完为止；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供应商提供自2023年1月1日至今承担过的同类项目业绩，每个业绩得2分，最高得10分。（提供合同复印件，同类项目以合同签订时间为准）。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