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版本号：LZBA2026-31820260416001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校园零星维修项目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LZBA2026-318</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校园零星维修项目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LZBA2026-318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校园零星维修项目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设备正常运转，保障学院日常教育教学活动的安全有序开展，营造良好的校园环境，设立校园零星维修项目。本项目覆盖学院三个校区，主要开展2026年全院屋面防水维修、小型土建维修、水电气暖设施设备维修、零星瓷砖修补及墙体粉刷、学院围墙修补等各类零星维修工作，及时解决校园建筑及设施设备存在的各类损坏、故障问题，保障校园基础设施正常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采购包1（校园零星维修项目）：属于专门面向中小企业采购。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及被授权人响应文件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2、供应商资质：供应商具有建设行政主管部门颁发的建筑工程施工总承包三级及以上资质，同时具有合格有效的安全生产许可证，供应商需在项目电子化交易系统中按要求上传相应证明文件并进行电子签章。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资格：供应商拟派项目项目经理具有建筑工程专业二级及以上注册建造师证书及安全生产考核合格证书，在本单位注册，且无在建项目（提供承诺函），供应商需在项目电子化交易系统中按要求上传相应证明文件并进行电子签章。</w:t>
      </w:r>
    </w:p>
    <w:p>
      <w:pPr>
        <w:pStyle w:val="null3"/>
      </w:pPr>
      <w:r>
        <w:rPr>
          <w:rFonts w:ascii="仿宋_GB2312" w:hAnsi="仿宋_GB2312" w:cs="仿宋_GB2312" w:eastAsia="仿宋_GB2312"/>
        </w:rPr>
        <w:t>4、供应商基本信息及拟派项目经理基本信息：供应商基本信息及拟派项目经理(建造师)的基本信息在“陕西省住房和城乡建设厅网站(http://js.shaanxi.gov.cn/)”可查询，供应商需在项目电子化交易系统中按要求上传相应证明文件并进行电子签章。</w:t>
      </w:r>
    </w:p>
    <w:p>
      <w:pPr>
        <w:pStyle w:val="null3"/>
      </w:pPr>
      <w:r>
        <w:rPr>
          <w:rFonts w:ascii="仿宋_GB2312" w:hAnsi="仿宋_GB2312" w:cs="仿宋_GB2312" w:eastAsia="仿宋_GB2312"/>
        </w:rPr>
        <w:t>5、信用查询：供应商不得为“信用中国”网站（www.creditchina.gov.cn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张钰晴、刘婧、张波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本项目为单价招标，以采购预算为基数计算招标代理服务费，参照计价格[2002]1980号、发改价格[2011]534号、发改办价格〔2003〕857号中工程类执行。2、中标单位在领取中标通知书之前，须向代理机构支付招标代理服务费。 招标代理服务费以转账或现金形式缴纳至以下账户： 开户名称：龙寰项目管理咨询有限公司 开户银行：平安银行西安高新路支行 账 号：30201278018412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联系人：张钰晴、刘婧、张波</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校园零星维修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标的名称：校园零星维修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both"/>
            </w:pPr>
            <w:r>
              <w:rPr>
                <w:rFonts w:ascii="仿宋_GB2312" w:hAnsi="仿宋_GB2312" w:cs="仿宋_GB2312" w:eastAsia="仿宋_GB2312"/>
                <w:sz w:val="20"/>
                <w:b/>
                <w:color w:val="000000"/>
              </w:rPr>
              <w:t>一、项目概况</w:t>
            </w:r>
          </w:p>
          <w:p>
            <w:pPr>
              <w:pStyle w:val="null3"/>
              <w:jc w:val="both"/>
            </w:pPr>
            <w:r>
              <w:rPr>
                <w:rFonts w:ascii="仿宋_GB2312" w:hAnsi="仿宋_GB2312" w:cs="仿宋_GB2312" w:eastAsia="仿宋_GB2312"/>
                <w:sz w:val="20"/>
                <w:color w:val="000000"/>
              </w:rPr>
              <w:t>为确保设备正常运转，保障学院日常教育教学活动的安全有序开展，营造良好的校园环境，设立校园零星维修项目。本项目覆盖学院三个校区，主要开展</w:t>
            </w:r>
            <w:r>
              <w:rPr>
                <w:rFonts w:ascii="仿宋_GB2312" w:hAnsi="仿宋_GB2312" w:cs="仿宋_GB2312" w:eastAsia="仿宋_GB2312"/>
                <w:sz w:val="20"/>
                <w:color w:val="000000"/>
              </w:rPr>
              <w:t>2026年全院屋面防水维修、小型土建维修、水电气暖设施设备维修、零星瓷砖修补及墙体粉刷、学院围墙修补等各类零星维修工作，及时解决校园建筑及设施设备存在的各类损坏、故障问题，保障校园基础设施正常使用。</w:t>
            </w:r>
          </w:p>
          <w:p>
            <w:pPr>
              <w:pStyle w:val="null3"/>
              <w:jc w:val="both"/>
            </w:pPr>
            <w:r>
              <w:rPr>
                <w:rFonts w:ascii="仿宋_GB2312" w:hAnsi="仿宋_GB2312" w:cs="仿宋_GB2312" w:eastAsia="仿宋_GB2312"/>
                <w:sz w:val="20"/>
                <w:b/>
                <w:color w:val="000000"/>
              </w:rPr>
              <w:t>二、工程内容和施工地点、计划工期、缺陷责任期、质量保修期</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工程内容</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主要涵盖墙面、瓷砖、木地板、吊顶、防水、路面、门体、护栏、管道、灯具、铝合金门窗、道牙石、外墙、室外石材、绿化、围墙、空调、风扇、窗帘、卫生间隔档、暖气片刷漆等多类校园设施的维修、更换与翻新作业。</w:t>
            </w:r>
          </w:p>
          <w:p>
            <w:pPr>
              <w:pStyle w:val="null3"/>
              <w:jc w:val="both"/>
            </w:pPr>
            <w:r>
              <w:rPr>
                <w:rFonts w:ascii="仿宋_GB2312" w:hAnsi="仿宋_GB2312" w:cs="仿宋_GB2312" w:eastAsia="仿宋_GB2312"/>
                <w:sz w:val="20"/>
                <w:color w:val="000000"/>
              </w:rPr>
              <w:t>(二)计划工期</w:t>
            </w:r>
          </w:p>
          <w:p>
            <w:pPr>
              <w:pStyle w:val="null3"/>
              <w:jc w:val="both"/>
            </w:pPr>
            <w:r>
              <w:rPr>
                <w:rFonts w:ascii="仿宋_GB2312" w:hAnsi="仿宋_GB2312" w:cs="仿宋_GB2312" w:eastAsia="仿宋_GB2312"/>
                <w:sz w:val="20"/>
                <w:color w:val="000000"/>
              </w:rPr>
              <w:t>合同期一年，工期按照实际工作量结合甲方书面通知为准。</w:t>
            </w:r>
          </w:p>
          <w:p>
            <w:pPr>
              <w:pStyle w:val="null3"/>
              <w:jc w:val="both"/>
            </w:pPr>
            <w:r>
              <w:rPr>
                <w:rFonts w:ascii="仿宋_GB2312" w:hAnsi="仿宋_GB2312" w:cs="仿宋_GB2312" w:eastAsia="仿宋_GB2312"/>
                <w:sz w:val="20"/>
                <w:color w:val="000000"/>
              </w:rPr>
              <w:t>(三)缺陷责任期</w:t>
            </w:r>
          </w:p>
          <w:p>
            <w:pPr>
              <w:pStyle w:val="null3"/>
              <w:jc w:val="both"/>
            </w:pPr>
            <w:r>
              <w:rPr>
                <w:rFonts w:ascii="仿宋_GB2312" w:hAnsi="仿宋_GB2312" w:cs="仿宋_GB2312" w:eastAsia="仿宋_GB2312"/>
                <w:sz w:val="20"/>
                <w:color w:val="000000"/>
              </w:rPr>
              <w:t>自竣工验收合格之日起满一年。</w:t>
            </w:r>
          </w:p>
          <w:p>
            <w:pPr>
              <w:pStyle w:val="null3"/>
              <w:jc w:val="both"/>
            </w:pPr>
            <w:r>
              <w:rPr>
                <w:rFonts w:ascii="仿宋_GB2312" w:hAnsi="仿宋_GB2312" w:cs="仿宋_GB2312" w:eastAsia="仿宋_GB2312"/>
                <w:sz w:val="20"/>
                <w:color w:val="000000"/>
              </w:rPr>
              <w:t>(四)质量保修期</w:t>
            </w:r>
          </w:p>
          <w:p>
            <w:pPr>
              <w:pStyle w:val="null3"/>
              <w:jc w:val="both"/>
            </w:pPr>
            <w:r>
              <w:rPr>
                <w:rFonts w:ascii="仿宋_GB2312" w:hAnsi="仿宋_GB2312" w:cs="仿宋_GB2312" w:eastAsia="仿宋_GB2312"/>
                <w:sz w:val="20"/>
                <w:color w:val="000000"/>
              </w:rPr>
              <w:t>自竣工验收合格之日起满一年。</w:t>
            </w:r>
          </w:p>
          <w:p>
            <w:pPr>
              <w:pStyle w:val="null3"/>
              <w:jc w:val="both"/>
            </w:pPr>
            <w:r>
              <w:rPr>
                <w:rFonts w:ascii="仿宋_GB2312" w:hAnsi="仿宋_GB2312" w:cs="仿宋_GB2312" w:eastAsia="仿宋_GB2312"/>
                <w:sz w:val="20"/>
                <w:b/>
                <w:color w:val="000000"/>
              </w:rPr>
              <w:t>三、工程量清单和计价依据</w:t>
            </w:r>
          </w:p>
          <w:p>
            <w:pPr>
              <w:pStyle w:val="null3"/>
              <w:jc w:val="both"/>
            </w:pPr>
            <w:r>
              <w:rPr>
                <w:rFonts w:ascii="仿宋_GB2312" w:hAnsi="仿宋_GB2312" w:cs="仿宋_GB2312" w:eastAsia="仿宋_GB2312"/>
                <w:sz w:val="20"/>
                <w:color w:val="000000"/>
              </w:rPr>
              <w:t>(一)工程量清单:见工程内容。</w:t>
            </w:r>
          </w:p>
          <w:p>
            <w:pPr>
              <w:pStyle w:val="null3"/>
              <w:jc w:val="both"/>
            </w:pPr>
            <w:r>
              <w:rPr>
                <w:rFonts w:ascii="仿宋_GB2312" w:hAnsi="仿宋_GB2312" w:cs="仿宋_GB2312" w:eastAsia="仿宋_GB2312"/>
                <w:sz w:val="20"/>
                <w:color w:val="000000"/>
              </w:rPr>
              <w:t>(二)计价依据:</w:t>
            </w:r>
          </w:p>
          <w:p>
            <w:pPr>
              <w:pStyle w:val="null3"/>
              <w:jc w:val="both"/>
            </w:pPr>
            <w:r>
              <w:rPr>
                <w:rFonts w:ascii="仿宋_GB2312" w:hAnsi="仿宋_GB2312" w:cs="仿宋_GB2312" w:eastAsia="仿宋_GB2312"/>
                <w:sz w:val="20"/>
                <w:color w:val="000000"/>
              </w:rPr>
              <w:t>(1)《陕西省建设工程工程量清单计价计算标准》(2025)</w:t>
            </w:r>
          </w:p>
          <w:p>
            <w:pPr>
              <w:pStyle w:val="null3"/>
              <w:jc w:val="both"/>
            </w:pPr>
            <w:r>
              <w:rPr>
                <w:rFonts w:ascii="仿宋_GB2312" w:hAnsi="仿宋_GB2312" w:cs="仿宋_GB2312" w:eastAsia="仿宋_GB2312"/>
                <w:sz w:val="20"/>
                <w:color w:val="000000"/>
              </w:rPr>
              <w:t>(2)《陕西省建设工程费用规则》(2025)</w:t>
            </w:r>
          </w:p>
          <w:p>
            <w:pPr>
              <w:pStyle w:val="null3"/>
              <w:jc w:val="both"/>
            </w:pPr>
            <w:r>
              <w:rPr>
                <w:rFonts w:ascii="仿宋_GB2312" w:hAnsi="仿宋_GB2312" w:cs="仿宋_GB2312" w:eastAsia="仿宋_GB2312"/>
                <w:sz w:val="20"/>
                <w:color w:val="000000"/>
              </w:rPr>
              <w:t>(3)《陕西省房屋建筑与装饰工程基价表》(2025)</w:t>
            </w:r>
          </w:p>
          <w:p>
            <w:pPr>
              <w:pStyle w:val="null3"/>
              <w:jc w:val="both"/>
            </w:pPr>
            <w:r>
              <w:rPr>
                <w:rFonts w:ascii="仿宋_GB2312" w:hAnsi="仿宋_GB2312" w:cs="仿宋_GB2312" w:eastAsia="仿宋_GB2312"/>
                <w:sz w:val="20"/>
                <w:color w:val="000000"/>
              </w:rPr>
              <w:t>(4)《陕西省通用安装工程基价表》(2025)</w:t>
            </w:r>
          </w:p>
          <w:p>
            <w:pPr>
              <w:pStyle w:val="null3"/>
              <w:jc w:val="both"/>
            </w:pPr>
            <w:r>
              <w:rPr>
                <w:rFonts w:ascii="仿宋_GB2312" w:hAnsi="仿宋_GB2312" w:cs="仿宋_GB2312" w:eastAsia="仿宋_GB2312"/>
                <w:sz w:val="20"/>
                <w:color w:val="000000"/>
              </w:rPr>
              <w:t>(5)《陕西省市政工程基价表》(2025)</w:t>
            </w:r>
          </w:p>
          <w:p>
            <w:pPr>
              <w:pStyle w:val="null3"/>
              <w:jc w:val="both"/>
            </w:pPr>
            <w:r>
              <w:rPr>
                <w:rFonts w:ascii="仿宋_GB2312" w:hAnsi="仿宋_GB2312" w:cs="仿宋_GB2312" w:eastAsia="仿宋_GB2312"/>
                <w:sz w:val="20"/>
                <w:color w:val="000000"/>
              </w:rPr>
              <w:t>(6)《陕西省园林绿化工程基价表》(2025)</w:t>
            </w:r>
          </w:p>
          <w:p>
            <w:pPr>
              <w:pStyle w:val="null3"/>
              <w:jc w:val="both"/>
            </w:pPr>
            <w:r>
              <w:rPr>
                <w:rFonts w:ascii="仿宋_GB2312" w:hAnsi="仿宋_GB2312" w:cs="仿宋_GB2312" w:eastAsia="仿宋_GB2312"/>
                <w:sz w:val="20"/>
                <w:color w:val="000000"/>
              </w:rPr>
              <w:t>(7)《陕西省城市地下综合管廊工程基价表》(2025)</w:t>
            </w:r>
          </w:p>
          <w:p>
            <w:pPr>
              <w:pStyle w:val="null3"/>
              <w:jc w:val="both"/>
            </w:pPr>
            <w:r>
              <w:rPr>
                <w:rFonts w:ascii="仿宋_GB2312" w:hAnsi="仿宋_GB2312" w:cs="仿宋_GB2312" w:eastAsia="仿宋_GB2312"/>
                <w:sz w:val="20"/>
                <w:color w:val="000000"/>
              </w:rPr>
              <w:t>(8)《陕西省绿色建筑工程基价表》(2025)</w:t>
            </w:r>
          </w:p>
          <w:p>
            <w:pPr>
              <w:pStyle w:val="null3"/>
              <w:jc w:val="both"/>
            </w:pPr>
            <w:r>
              <w:rPr>
                <w:rFonts w:ascii="仿宋_GB2312" w:hAnsi="仿宋_GB2312" w:cs="仿宋_GB2312" w:eastAsia="仿宋_GB2312"/>
                <w:sz w:val="20"/>
                <w:color w:val="000000"/>
              </w:rPr>
              <w:t>(9)《陕西省房屋建筑与装饰工程消耗量定额》(2025)</w:t>
            </w:r>
          </w:p>
          <w:p>
            <w:pPr>
              <w:pStyle w:val="null3"/>
              <w:jc w:val="both"/>
            </w:pPr>
            <w:r>
              <w:rPr>
                <w:rFonts w:ascii="仿宋_GB2312" w:hAnsi="仿宋_GB2312" w:cs="仿宋_GB2312" w:eastAsia="仿宋_GB2312"/>
                <w:sz w:val="20"/>
                <w:color w:val="000000"/>
              </w:rPr>
              <w:t>(10)《陕西省通用安装工程消耗量定额》(2025)</w:t>
            </w:r>
          </w:p>
          <w:p>
            <w:pPr>
              <w:pStyle w:val="null3"/>
              <w:jc w:val="both"/>
            </w:pPr>
            <w:r>
              <w:rPr>
                <w:rFonts w:ascii="仿宋_GB2312" w:hAnsi="仿宋_GB2312" w:cs="仿宋_GB2312" w:eastAsia="仿宋_GB2312"/>
                <w:sz w:val="20"/>
                <w:color w:val="000000"/>
              </w:rPr>
              <w:t>(11)《陕西省市政工程消耗量定额》(2025)</w:t>
            </w:r>
          </w:p>
          <w:p>
            <w:pPr>
              <w:pStyle w:val="null3"/>
              <w:jc w:val="both"/>
            </w:pPr>
            <w:r>
              <w:rPr>
                <w:rFonts w:ascii="仿宋_GB2312" w:hAnsi="仿宋_GB2312" w:cs="仿宋_GB2312" w:eastAsia="仿宋_GB2312"/>
                <w:sz w:val="20"/>
                <w:color w:val="000000"/>
              </w:rPr>
              <w:t>(12)《陕西省园林绿化工程消耗量定额》(2025)</w:t>
            </w:r>
          </w:p>
          <w:p>
            <w:pPr>
              <w:pStyle w:val="null3"/>
              <w:jc w:val="both"/>
            </w:pPr>
            <w:r>
              <w:rPr>
                <w:rFonts w:ascii="仿宋_GB2312" w:hAnsi="仿宋_GB2312" w:cs="仿宋_GB2312" w:eastAsia="仿宋_GB2312"/>
                <w:sz w:val="20"/>
                <w:color w:val="000000"/>
              </w:rPr>
              <w:t>(13)《陕西省城市地下综合管廊工程消耗量定额》(2025)</w:t>
            </w:r>
          </w:p>
          <w:p>
            <w:pPr>
              <w:pStyle w:val="null3"/>
              <w:jc w:val="both"/>
            </w:pPr>
            <w:r>
              <w:rPr>
                <w:rFonts w:ascii="仿宋_GB2312" w:hAnsi="仿宋_GB2312" w:cs="仿宋_GB2312" w:eastAsia="仿宋_GB2312"/>
                <w:sz w:val="20"/>
                <w:color w:val="000000"/>
              </w:rPr>
              <w:t>(14)《陕西省绿色建筑工程消耗量定额》(2025)</w:t>
            </w:r>
          </w:p>
          <w:p>
            <w:pPr>
              <w:pStyle w:val="null3"/>
              <w:jc w:val="both"/>
            </w:pPr>
            <w:r>
              <w:rPr>
                <w:rFonts w:ascii="仿宋_GB2312" w:hAnsi="仿宋_GB2312" w:cs="仿宋_GB2312" w:eastAsia="仿宋_GB2312"/>
                <w:sz w:val="20"/>
                <w:color w:val="000000"/>
              </w:rPr>
              <w:t>(15)《陕西省建设工程施工机械台班费用定额》(2025)</w:t>
            </w:r>
          </w:p>
          <w:p>
            <w:pPr>
              <w:pStyle w:val="null3"/>
              <w:jc w:val="both"/>
            </w:pPr>
            <w:r>
              <w:rPr>
                <w:rFonts w:ascii="仿宋_GB2312" w:hAnsi="仿宋_GB2312" w:cs="仿宋_GB2312" w:eastAsia="仿宋_GB2312"/>
                <w:sz w:val="20"/>
                <w:color w:val="000000"/>
              </w:rPr>
              <w:t>(16)《陕西省建设工程施工仪器仪表台班费用定额》(2025)</w:t>
            </w:r>
          </w:p>
          <w:p>
            <w:pPr>
              <w:pStyle w:val="null3"/>
              <w:jc w:val="both"/>
            </w:pPr>
            <w:r>
              <w:rPr>
                <w:rFonts w:ascii="仿宋_GB2312" w:hAnsi="仿宋_GB2312" w:cs="仿宋_GB2312" w:eastAsia="仿宋_GB2312"/>
                <w:sz w:val="20"/>
                <w:color w:val="000000"/>
              </w:rPr>
              <w:t>(17)《陕西省住房和城乡建设厅关于印发2025陕西省建设工程费用规则等计价依据的通知》(陕建管发[2025]10 号文件)；</w:t>
            </w:r>
          </w:p>
          <w:p>
            <w:pPr>
              <w:pStyle w:val="null3"/>
              <w:jc w:val="both"/>
            </w:pPr>
            <w:r>
              <w:rPr>
                <w:rFonts w:ascii="仿宋_GB2312" w:hAnsi="仿宋_GB2312" w:cs="仿宋_GB2312" w:eastAsia="仿宋_GB2312"/>
                <w:sz w:val="20"/>
                <w:b/>
                <w:color w:val="000000"/>
              </w:rPr>
              <w:t>四、施工要求</w:t>
            </w:r>
          </w:p>
          <w:p>
            <w:pPr>
              <w:pStyle w:val="null3"/>
              <w:jc w:val="both"/>
            </w:pPr>
            <w:r>
              <w:rPr>
                <w:rFonts w:ascii="仿宋_GB2312" w:hAnsi="仿宋_GB2312" w:cs="仿宋_GB2312" w:eastAsia="仿宋_GB2312"/>
                <w:sz w:val="20"/>
                <w:color w:val="000000"/>
              </w:rPr>
              <w:t>(一)遵守国家相关法律、法规，遵守国家相关技术规范。</w:t>
            </w:r>
          </w:p>
          <w:p>
            <w:pPr>
              <w:pStyle w:val="null3"/>
              <w:jc w:val="both"/>
            </w:pPr>
            <w:r>
              <w:rPr>
                <w:rFonts w:ascii="仿宋_GB2312" w:hAnsi="仿宋_GB2312" w:cs="仿宋_GB2312" w:eastAsia="仿宋_GB2312"/>
                <w:sz w:val="20"/>
                <w:color w:val="000000"/>
              </w:rPr>
              <w:t>(二)所选材料必须保证质量可靠、进货渠道正常，符合国家环保等相关标准，满足施工要求。</w:t>
            </w:r>
          </w:p>
          <w:p>
            <w:pPr>
              <w:pStyle w:val="null3"/>
              <w:jc w:val="both"/>
            </w:pPr>
            <w:r>
              <w:rPr>
                <w:rFonts w:ascii="仿宋_GB2312" w:hAnsi="仿宋_GB2312" w:cs="仿宋_GB2312" w:eastAsia="仿宋_GB2312"/>
                <w:sz w:val="20"/>
                <w:color w:val="000000"/>
              </w:rPr>
              <w:t>(三)工程质量符合国家有关规范，确保达到合格。</w:t>
            </w:r>
          </w:p>
          <w:p>
            <w:pPr>
              <w:pStyle w:val="null3"/>
              <w:jc w:val="both"/>
            </w:pPr>
            <w:r>
              <w:rPr>
                <w:rFonts w:ascii="仿宋_GB2312" w:hAnsi="仿宋_GB2312" w:cs="仿宋_GB2312" w:eastAsia="仿宋_GB2312"/>
                <w:sz w:val="20"/>
                <w:color w:val="000000"/>
              </w:rPr>
              <w:t>(四)该工程项目质量保修期按有关文件规定执行。</w:t>
            </w:r>
          </w:p>
          <w:p>
            <w:pPr>
              <w:pStyle w:val="null3"/>
              <w:jc w:val="both"/>
            </w:pPr>
            <w:r>
              <w:rPr>
                <w:rFonts w:ascii="仿宋_GB2312" w:hAnsi="仿宋_GB2312" w:cs="仿宋_GB2312" w:eastAsia="仿宋_GB2312"/>
                <w:sz w:val="20"/>
                <w:color w:val="000000"/>
              </w:rPr>
              <w:t>(五)遵守有关施工规范和安全操作规程，采取有效的安全保障措施，确保施工安全，包括悬挂警示标牌、装设围栏、配备安全人员等，并承担事故的全部费用和责任。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0"/>
                <w:color w:val="000000"/>
              </w:rPr>
              <w:t>(六)施工单位必须服从当地对治安、卫生、环保、社会保险等工程建设的统一管理，并按有关规定交纳费用以及因违反相关规定而造成的罚款。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0"/>
                <w:color w:val="000000"/>
              </w:rPr>
              <w:t>(七)本工程不允许转包。</w:t>
            </w:r>
          </w:p>
          <w:p>
            <w:pPr>
              <w:pStyle w:val="null3"/>
              <w:jc w:val="both"/>
            </w:pPr>
            <w:r>
              <w:rPr>
                <w:rFonts w:ascii="仿宋_GB2312" w:hAnsi="仿宋_GB2312" w:cs="仿宋_GB2312" w:eastAsia="仿宋_GB2312"/>
                <w:sz w:val="20"/>
                <w:color w:val="000000"/>
              </w:rPr>
              <w:t>(八)爱护采购方设施设备，不能为施工方便未经甲方书面同意损坏采购方设施设备。</w:t>
            </w:r>
          </w:p>
          <w:p>
            <w:pPr>
              <w:pStyle w:val="null3"/>
              <w:jc w:val="both"/>
            </w:pPr>
            <w:r>
              <w:rPr>
                <w:rFonts w:ascii="仿宋_GB2312" w:hAnsi="仿宋_GB2312" w:cs="仿宋_GB2312" w:eastAsia="仿宋_GB2312"/>
                <w:sz w:val="20"/>
                <w:color w:val="000000"/>
              </w:rPr>
              <w:t>(九)供应商自行办理垃圾清理手续，遵守当地政府垃圾分类处理有关规定，承担自行处置不当导致的全部费用和责任。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0"/>
                <w:color w:val="000000"/>
              </w:rPr>
              <w:t>(十)高空作业需严格遵守高空施工安全规范，配备合格的作业设备和防护用品，确保施工人员及校园内人员、设施安全。</w:t>
            </w:r>
          </w:p>
          <w:p>
            <w:pPr>
              <w:pStyle w:val="null3"/>
              <w:jc w:val="both"/>
            </w:pPr>
            <w:r>
              <w:rPr>
                <w:rFonts w:ascii="仿宋_GB2312" w:hAnsi="仿宋_GB2312" w:cs="仿宋_GB2312" w:eastAsia="仿宋_GB2312"/>
                <w:sz w:val="20"/>
                <w:b/>
                <w:color w:val="000000"/>
              </w:rPr>
              <w:t>五、商务要求</w:t>
            </w:r>
          </w:p>
          <w:p>
            <w:pPr>
              <w:pStyle w:val="null3"/>
              <w:jc w:val="both"/>
            </w:pPr>
            <w:r>
              <w:rPr>
                <w:rFonts w:ascii="仿宋_GB2312" w:hAnsi="仿宋_GB2312" w:cs="仿宋_GB2312" w:eastAsia="仿宋_GB2312"/>
                <w:sz w:val="20"/>
                <w:color w:val="000000"/>
              </w:rPr>
              <w:t>(一)合同价款:按实际产生工程量据实结算。</w:t>
            </w:r>
          </w:p>
          <w:p>
            <w:pPr>
              <w:pStyle w:val="null3"/>
              <w:jc w:val="both"/>
            </w:pPr>
            <w:r>
              <w:rPr>
                <w:rFonts w:ascii="仿宋_GB2312" w:hAnsi="仿宋_GB2312" w:cs="仿宋_GB2312" w:eastAsia="仿宋_GB2312"/>
                <w:sz w:val="20"/>
                <w:color w:val="000000"/>
              </w:rPr>
              <w:t>(二)结算方式:</w:t>
            </w:r>
          </w:p>
          <w:p>
            <w:pPr>
              <w:pStyle w:val="null3"/>
              <w:jc w:val="both"/>
            </w:pPr>
            <w:r>
              <w:rPr>
                <w:rFonts w:ascii="仿宋_GB2312" w:hAnsi="仿宋_GB2312" w:cs="仿宋_GB2312" w:eastAsia="仿宋_GB2312"/>
                <w:sz w:val="20"/>
                <w:color w:val="000000"/>
              </w:rPr>
              <w:t>1.进度结算:</w:t>
            </w:r>
            <w:r>
              <w:rPr>
                <w:rFonts w:ascii="仿宋_GB2312" w:hAnsi="仿宋_GB2312" w:cs="仿宋_GB2312" w:eastAsia="仿宋_GB2312"/>
                <w:sz w:val="20"/>
                <w:color w:val="000000"/>
              </w:rPr>
              <w:t>①</w:t>
            </w:r>
            <w:r>
              <w:rPr>
                <w:rFonts w:ascii="仿宋_GB2312" w:hAnsi="仿宋_GB2312" w:cs="仿宋_GB2312" w:eastAsia="仿宋_GB2312"/>
                <w:sz w:val="20"/>
                <w:color w:val="000000"/>
              </w:rPr>
              <w:t>合同签订后，支付预算金额的</w:t>
            </w:r>
            <w:r>
              <w:rPr>
                <w:rFonts w:ascii="仿宋_GB2312" w:hAnsi="仿宋_GB2312" w:cs="仿宋_GB2312" w:eastAsia="仿宋_GB2312"/>
                <w:sz w:val="20"/>
                <w:color w:val="000000"/>
              </w:rPr>
              <w:t>40%作为预付款</w:t>
            </w:r>
            <w:r>
              <w:rPr>
                <w:rFonts w:ascii="仿宋_GB2312" w:hAnsi="仿宋_GB2312" w:cs="仿宋_GB2312" w:eastAsia="仿宋_GB2312"/>
                <w:sz w:val="20"/>
                <w:color w:val="000000"/>
              </w:rPr>
              <w:t>②</w:t>
            </w:r>
            <w:r>
              <w:rPr>
                <w:rFonts w:ascii="仿宋_GB2312" w:hAnsi="仿宋_GB2312" w:cs="仿宋_GB2312" w:eastAsia="仿宋_GB2312"/>
                <w:sz w:val="20"/>
                <w:color w:val="000000"/>
              </w:rPr>
              <w:t>累计完成预付款金额后，按照</w:t>
            </w:r>
            <w:r>
              <w:rPr>
                <w:rFonts w:ascii="仿宋_GB2312" w:hAnsi="仿宋_GB2312" w:cs="仿宋_GB2312" w:eastAsia="仿宋_GB2312"/>
                <w:sz w:val="20"/>
                <w:color w:val="000000"/>
              </w:rPr>
              <w:t>施工过程中，每累计完成工程量对应价款满</w:t>
            </w:r>
            <w:r>
              <w:rPr>
                <w:rFonts w:ascii="仿宋_GB2312" w:hAnsi="仿宋_GB2312" w:cs="仿宋_GB2312" w:eastAsia="仿宋_GB2312"/>
                <w:sz w:val="20"/>
                <w:color w:val="000000"/>
              </w:rPr>
              <w:t>3</w:t>
            </w:r>
            <w:r>
              <w:rPr>
                <w:rFonts w:ascii="仿宋_GB2312" w:hAnsi="仿宋_GB2312" w:cs="仿宋_GB2312" w:eastAsia="仿宋_GB2312"/>
                <w:sz w:val="20"/>
                <w:color w:val="000000"/>
              </w:rPr>
              <w:t>0万元，成交供应商提交完整结算资料(含工程量确认单、相关凭证等)，经采购人</w:t>
            </w:r>
            <w:r>
              <w:rPr>
                <w:rFonts w:ascii="仿宋_GB2312" w:hAnsi="仿宋_GB2312" w:cs="仿宋_GB2312" w:eastAsia="仿宋_GB2312"/>
                <w:sz w:val="20"/>
                <w:color w:val="000000"/>
              </w:rPr>
              <w:t>审核确认后，</w:t>
            </w:r>
            <w:r>
              <w:rPr>
                <w:rFonts w:ascii="仿宋_GB2312" w:hAnsi="仿宋_GB2312" w:cs="仿宋_GB2312" w:eastAsia="仿宋_GB2312"/>
                <w:sz w:val="20"/>
                <w:color w:val="000000"/>
              </w:rPr>
              <w:t>成交供应商开具对应金额合法有效发票，采购人在收到合格发票后</w:t>
            </w:r>
            <w:r>
              <w:rPr>
                <w:rFonts w:ascii="仿宋_GB2312" w:hAnsi="仿宋_GB2312" w:cs="仿宋_GB2312" w:eastAsia="仿宋_GB2312"/>
                <w:sz w:val="20"/>
                <w:color w:val="000000"/>
              </w:rPr>
              <w:t>7个工作日内完成支付。</w:t>
            </w:r>
          </w:p>
          <w:p>
            <w:pPr>
              <w:pStyle w:val="null3"/>
              <w:jc w:val="both"/>
            </w:pPr>
            <w:r>
              <w:rPr>
                <w:rFonts w:ascii="仿宋_GB2312" w:hAnsi="仿宋_GB2312" w:cs="仿宋_GB2312" w:eastAsia="仿宋_GB2312"/>
                <w:sz w:val="20"/>
                <w:color w:val="000000"/>
              </w:rPr>
              <w:t>2.最终结算:合同履行期满，且所有维修工作全部完成并通过竣工验收后，对不足</w:t>
            </w:r>
            <w:r>
              <w:rPr>
                <w:rFonts w:ascii="仿宋_GB2312" w:hAnsi="仿宋_GB2312" w:cs="仿宋_GB2312" w:eastAsia="仿宋_GB2312"/>
                <w:sz w:val="20"/>
                <w:color w:val="000000"/>
              </w:rPr>
              <w:t>3</w:t>
            </w:r>
            <w:r>
              <w:rPr>
                <w:rFonts w:ascii="仿宋_GB2312" w:hAnsi="仿宋_GB2312" w:cs="仿宋_GB2312" w:eastAsia="仿宋_GB2312"/>
                <w:sz w:val="20"/>
                <w:color w:val="000000"/>
              </w:rPr>
              <w:t>0万元的剩余款项，按实际发生金额据实结算，采购人在收到最终结算资料及合格发票后7个工作日内完成尾款支付。</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三</w:t>
            </w:r>
            <w:r>
              <w:rPr>
                <w:rFonts w:ascii="仿宋_GB2312" w:hAnsi="仿宋_GB2312" w:cs="仿宋_GB2312" w:eastAsia="仿宋_GB2312"/>
                <w:sz w:val="20"/>
                <w:color w:val="000000"/>
              </w:rPr>
              <w:t>）响应时间：出现质量问题，接到维修通知后</w:t>
            </w:r>
            <w:r>
              <w:rPr>
                <w:rFonts w:ascii="仿宋_GB2312" w:hAnsi="仿宋_GB2312" w:cs="仿宋_GB2312" w:eastAsia="仿宋_GB2312"/>
                <w:sz w:val="20"/>
                <w:color w:val="000000"/>
              </w:rPr>
              <w:t>24</w:t>
            </w:r>
            <w:r>
              <w:rPr>
                <w:rFonts w:ascii="仿宋_GB2312" w:hAnsi="仿宋_GB2312" w:cs="仿宋_GB2312" w:eastAsia="仿宋_GB2312"/>
                <w:sz w:val="20"/>
                <w:color w:val="000000"/>
              </w:rPr>
              <w:t>小时内</w:t>
            </w:r>
            <w:r>
              <w:rPr>
                <w:rFonts w:ascii="仿宋_GB2312" w:hAnsi="仿宋_GB2312" w:cs="仿宋_GB2312" w:eastAsia="仿宋_GB2312"/>
                <w:sz w:val="20"/>
                <w:color w:val="000000"/>
              </w:rPr>
              <w:t>到达维修现场</w:t>
            </w:r>
            <w:r>
              <w:rPr>
                <w:rFonts w:ascii="仿宋_GB2312" w:hAnsi="仿宋_GB2312" w:cs="仿宋_GB2312" w:eastAsia="仿宋_GB2312"/>
                <w:sz w:val="20"/>
                <w:color w:val="000000"/>
              </w:rPr>
              <w:t>，</w:t>
            </w:r>
            <w:r>
              <w:rPr>
                <w:rFonts w:ascii="仿宋_GB2312" w:hAnsi="仿宋_GB2312" w:cs="仿宋_GB2312" w:eastAsia="仿宋_GB2312"/>
                <w:sz w:val="20"/>
                <w:color w:val="000000"/>
              </w:rPr>
              <w:t>具体维修内容、维修标准及完成维修时间</w:t>
            </w:r>
            <w:r>
              <w:rPr>
                <w:rFonts w:ascii="仿宋_GB2312" w:hAnsi="仿宋_GB2312" w:cs="仿宋_GB2312" w:eastAsia="仿宋_GB2312"/>
                <w:sz w:val="20"/>
                <w:color w:val="000000"/>
              </w:rPr>
              <w:t>并通过甲方验收</w:t>
            </w:r>
            <w:r>
              <w:rPr>
                <w:rFonts w:ascii="仿宋_GB2312" w:hAnsi="仿宋_GB2312" w:cs="仿宋_GB2312" w:eastAsia="仿宋_GB2312"/>
                <w:sz w:val="20"/>
                <w:color w:val="000000"/>
              </w:rPr>
              <w:t>等相关事宜由甲乙双方共同商定</w:t>
            </w:r>
            <w:r>
              <w:rPr>
                <w:rFonts w:ascii="仿宋_GB2312" w:hAnsi="仿宋_GB2312" w:cs="仿宋_GB2312" w:eastAsia="仿宋_GB2312"/>
                <w:sz w:val="20"/>
                <w:color w:val="000000"/>
              </w:rPr>
              <w:t>，修复的材料、人工等费用由乙方承担；</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四</w:t>
            </w:r>
            <w:r>
              <w:rPr>
                <w:rFonts w:ascii="仿宋_GB2312" w:hAnsi="仿宋_GB2312" w:cs="仿宋_GB2312" w:eastAsia="仿宋_GB2312"/>
                <w:sz w:val="20"/>
                <w:color w:val="000000"/>
              </w:rPr>
              <w:t>)漏项处理:施工过程中发现工程量清单中存在漏项工程的，该漏项工程作为本项目采购的组成部分，采购人和供应商可以按照《中华人民共和国政府采购法》的规定协商解决。</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五</w:t>
            </w:r>
            <w:r>
              <w:rPr>
                <w:rFonts w:ascii="仿宋_GB2312" w:hAnsi="仿宋_GB2312" w:cs="仿宋_GB2312" w:eastAsia="仿宋_GB2312"/>
                <w:sz w:val="20"/>
                <w:color w:val="000000"/>
              </w:rPr>
              <w:t>)为及时响应维修需求、协调施工事宜、对接甲方沟通日常工作，合同期需安排驻场人员一名。驻场人员需具备相关施工管理经验，熟悉校园维修工作流程，能够全程在岗(正常工作时间不得擅自离岗)，负责日常维修任务的接收、施工人员调度、现场施工监督、施工进度反馈及甲方交办的其他相关协调工作;驻场人员信息需提前报备甲方备案，未经甲方书面同意不得擅自更换，若因特殊情况需更换，需提前3个工作日提交书面申请，经甲方同意后方可更换，且更换后人员资质、经验不得低于原驻场人员标准;驻场人员需严格遵守学院校园管理规定，爱护校园设施，维护校园秩序，配合甲方做好安全管理、卫生保洁等相关工作。</w:t>
            </w:r>
          </w:p>
          <w:p>
            <w:pPr>
              <w:pStyle w:val="null3"/>
              <w:jc w:val="both"/>
            </w:pP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违约责任</w:t>
            </w:r>
          </w:p>
          <w:p>
            <w:pPr>
              <w:pStyle w:val="null3"/>
              <w:jc w:val="both"/>
            </w:pPr>
            <w:r>
              <w:rPr>
                <w:rFonts w:ascii="仿宋_GB2312" w:hAnsi="仿宋_GB2312" w:cs="仿宋_GB2312" w:eastAsia="仿宋_GB2312"/>
                <w:sz w:val="20"/>
                <w:color w:val="000000"/>
              </w:rPr>
              <w:t>1.按《中华人民共和国政府采购法》、《中华人民共和国</w:t>
            </w:r>
            <w:r>
              <w:rPr>
                <w:rFonts w:ascii="仿宋_GB2312" w:hAnsi="仿宋_GB2312" w:cs="仿宋_GB2312" w:eastAsia="仿宋_GB2312"/>
                <w:sz w:val="20"/>
                <w:color w:val="000000"/>
              </w:rPr>
              <w:t>民法典</w:t>
            </w:r>
            <w:r>
              <w:rPr>
                <w:rFonts w:ascii="仿宋_GB2312" w:hAnsi="仿宋_GB2312" w:cs="仿宋_GB2312" w:eastAsia="仿宋_GB2312"/>
                <w:sz w:val="20"/>
                <w:color w:val="000000"/>
              </w:rPr>
              <w:t>》中的相关条款执行。</w:t>
            </w:r>
          </w:p>
          <w:p>
            <w:pPr>
              <w:pStyle w:val="null3"/>
              <w:jc w:val="both"/>
            </w:pPr>
            <w:r>
              <w:rPr>
                <w:rFonts w:ascii="仿宋_GB2312" w:hAnsi="仿宋_GB2312" w:cs="仿宋_GB2312" w:eastAsia="仿宋_GB2312"/>
                <w:sz w:val="20"/>
                <w:color w:val="000000"/>
              </w:rPr>
              <w:t>2.未按要求提供货物、质量、环保标准不能满足技术要求的，施工方必须无条件更换，否则，采购单位有权终止合同，并对施工方的违约行为报监管机构进行相应的处罚。</w:t>
            </w:r>
          </w:p>
          <w:p>
            <w:pPr>
              <w:pStyle w:val="null3"/>
              <w:jc w:val="both"/>
            </w:pPr>
            <w:r>
              <w:rPr>
                <w:rFonts w:ascii="仿宋_GB2312" w:hAnsi="仿宋_GB2312" w:cs="仿宋_GB2312" w:eastAsia="仿宋_GB2312"/>
                <w:sz w:val="20"/>
                <w:color w:val="000000"/>
              </w:rPr>
              <w:t>3.施工方不能按期交工的，每逾期一日应向项目单位支付合同总价款2%的违约金，给采购单位造成损失的，应予以赔偿。</w:t>
            </w:r>
          </w:p>
          <w:p>
            <w:pPr>
              <w:pStyle w:val="null3"/>
              <w:jc w:val="both"/>
            </w:pP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与本工程相关的特别说明</w:t>
            </w:r>
          </w:p>
          <w:p>
            <w:pPr>
              <w:pStyle w:val="null3"/>
            </w:pPr>
            <w:r>
              <w:rPr>
                <w:rFonts w:ascii="仿宋_GB2312" w:hAnsi="仿宋_GB2312" w:cs="仿宋_GB2312" w:eastAsia="仿宋_GB2312"/>
                <w:sz w:val="20"/>
                <w:color w:val="000000"/>
              </w:rPr>
              <w:t>本项目包工、包料、包工期、包质量、包安全、包调试、包垃圾外运、包文明施工</w:t>
            </w:r>
            <w:r>
              <w:rPr>
                <w:rFonts w:ascii="仿宋_GB2312" w:hAnsi="仿宋_GB2312" w:cs="仿宋_GB2312" w:eastAsia="仿宋_GB2312"/>
                <w:sz w:val="20"/>
                <w:color w:val="000000"/>
              </w:rPr>
              <w:t>，</w:t>
            </w:r>
            <w:r>
              <w:rPr>
                <w:rFonts w:ascii="仿宋_GB2312" w:hAnsi="仿宋_GB2312" w:cs="仿宋_GB2312" w:eastAsia="仿宋_GB2312"/>
                <w:sz w:val="20"/>
                <w:color w:val="000000"/>
              </w:rPr>
              <w:t>成交供应商要结合现场实际情况</w:t>
            </w:r>
            <w:r>
              <w:rPr>
                <w:rFonts w:ascii="仿宋_GB2312" w:hAnsi="仿宋_GB2312" w:cs="仿宋_GB2312" w:eastAsia="仿宋_GB2312"/>
                <w:sz w:val="20"/>
                <w:color w:val="000000"/>
              </w:rPr>
              <w:t>，</w:t>
            </w:r>
            <w:r>
              <w:rPr>
                <w:rFonts w:ascii="仿宋_GB2312" w:hAnsi="仿宋_GB2312" w:cs="仿宋_GB2312" w:eastAsia="仿宋_GB2312"/>
                <w:sz w:val="20"/>
                <w:color w:val="000000"/>
              </w:rPr>
              <w:t>按照采购</w:t>
            </w:r>
            <w:r>
              <w:rPr>
                <w:rFonts w:ascii="仿宋_GB2312" w:hAnsi="仿宋_GB2312" w:cs="仿宋_GB2312" w:eastAsia="仿宋_GB2312"/>
                <w:sz w:val="20"/>
                <w:color w:val="000000"/>
              </w:rPr>
              <w:t>方</w:t>
            </w:r>
            <w:r>
              <w:rPr>
                <w:rFonts w:ascii="仿宋_GB2312" w:hAnsi="仿宋_GB2312" w:cs="仿宋_GB2312" w:eastAsia="仿宋_GB2312"/>
                <w:sz w:val="20"/>
                <w:color w:val="000000"/>
              </w:rPr>
              <w:t>合理要求施工</w:t>
            </w:r>
            <w:r>
              <w:rPr>
                <w:rFonts w:ascii="仿宋_GB2312" w:hAnsi="仿宋_GB2312" w:cs="仿宋_GB2312" w:eastAsia="仿宋_GB2312"/>
                <w:sz w:val="20"/>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遵守学院各项规章制度，加强安全措施，并对施工人员进行安全教育。为确保施工安全，在施工过程中对施工区域要进行必要的围挡。及时清理施工中产生的建筑垃圾，保证校园环境卫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3、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4、本项目专门面向中小企业采购，（残疾人福利性单位、监狱企业视同小型、微型企业）。 5、未按合同要求提供服务或服务不能满足合同要求，采购人有权依据《民法典》有关条款及合同约定终止合同，并要求供应商承担违约责任。同时，政府采购监管部门有权依据《政府采购法》及相关法律法规对供应商的违法行为进行相应的处罚。 6、合同有效期为一年，在合同有效期内，乙方按照合同清单项实施服务，当金额达预算金额后，合同自动终止。 7、关于最后报价的说明：（1）因本项目为固定综合单价结算，故涉及到重新组价，请各供应商提前做好相关准备。（2）磋商结束后，所有实质性响应的供应商应当按照磋商小组的要求在规定时间内提交最后全费用综合单价之和及重新组价后的分项报价表（维修工程清单），系统上填写全费用综合单价之和，重新组价后的分项报价表（维修工程清单）须加盖公章以附件形式发送至代理机构邮箱LHXMGL08@163.COM（提供加盖公章的扫描件及ECXEL.或WODR.文件），未在规定时间内上传附件视为未实质性响应，按无效投标处理。（3）最后报价的全费用综合单价之和仅作为计算价格分（全费用综合单价之和）得分的依据，重新组价后的分项报价表（维修工程清单）中的各项目综合单价为本项目最终成交的综合单价。每次结算时，按照实际发生的工程量及供应商成交的综合单价据实计算当次合同价款（包括完成该维修项目的成本（直接费、间接费）、利润、政策性文件规定费用、施工技术措施费、风险费、税金等所有费用），清单内未包含的维修项目按照市场价经审计后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经审计的财务报告或响应文件提交截止时间前六个月内基本存款账户开户银行出具的资信证明及基本存款账户开户许可证（或基本存款账户信息相关证明文件）或信用担保机构出具的投标担保函。（3）2025年4月以来任意一个月纳税证明或完税证明，纳税证明或完税证明上应有代收机构或税务机关的公章或业务专用章；依法免税或无须缴纳税收的供应商应提供相应文件证明。（4）2025年4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法定代表人身份证明书.docx 供应商应提交的相关资格证明材料 投标人应提交的资格证明材料.docx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投标人应提交的资格证明材料.docx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法定代表人身份证明书.docx 供应商应提交的相关资格证明材料 投标人应提交的资格证明材料.docx 响应函 商务条款偏离表.docx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响应文件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已标价工程量清单 法定代表人身份证明书.docx 报价函 供应商应提交的相关资格证明材料 标的清单 投标人应提交的资格证明材料.docx 响应函 商务条款偏离表.docx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法定代表人身份证明书.docx 报价函 供应商应提交的相关资格证明材料 标的清单 投标人应提交的资格证明材料.docx 响应函 磋商报价一览表.docx 报价函.docx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项目经理具有建筑工程专业二级及以上注册建造师证书及安全生产考核合格证书，在本单位注册，且无在建项目（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法定代表人身份证明书.docx 报价函 供应商应提交的相关资格证明材料 标的清单 投标人应提交的资格证明材料.docx 响应函 报价函.docx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供应商基本信息及拟派项目经理(建造师)的基本信息在“陕西省住房和城乡建设厅网站(http://js.shaanxi.gov.cn/)”可查询，供应商需在项目电子化交易系统中按要求上传相应证明文件并进行电子签章。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法定代表人身份证明书.docx 报价函 供应商应提交的相关资格证明材料 标的清单 投标人应提交的资格证明材料.docx 响应函 报价函.docx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tc>
        <w:tc>
          <w:tcPr>
            <w:tcW w:type="dxa" w:w="1661"/>
          </w:tcPr>
          <w:p>
            <w:pPr>
              <w:pStyle w:val="null3"/>
            </w:pPr>
            <w:r>
              <w:rPr>
                <w:rFonts w:ascii="仿宋_GB2312" w:hAnsi="仿宋_GB2312" w:cs="仿宋_GB2312" w:eastAsia="仿宋_GB2312"/>
              </w:rPr>
              <w:t>响应文件封面 法定代表人身份证明书.docx 报价函 供应商应提交的相关资格证明材料 标的清单 投标人应提交的资格证明材料.docx 响应函 磋商报价一览表.docx 报价函.docx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内容无重大缺漏项，报价唯一，且没有超过维修清单单价限价</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商务及技术响应</w:t>
            </w:r>
          </w:p>
        </w:tc>
        <w:tc>
          <w:tcPr>
            <w:tcW w:type="dxa" w:w="3322"/>
          </w:tcPr>
          <w:p>
            <w:pPr>
              <w:pStyle w:val="null3"/>
            </w:pPr>
            <w:r>
              <w:rPr>
                <w:rFonts w:ascii="仿宋_GB2312" w:hAnsi="仿宋_GB2312" w:cs="仿宋_GB2312" w:eastAsia="仿宋_GB2312"/>
              </w:rPr>
              <w:t>投标内容不存在漏项或数量与要求不符合竞争性磋商文件规定情形，投标内容满足竞争性磋商文件的商务、技术等实质性要求，不存在采购档次降低或影响采购性能、功能的情形。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技术方案.docx 已标价工程量清单 中小企业声明函 供应商应提交的相关资格证明材料 响应文件封面 法定代表人身份证明书.docx 残疾人福利性单位声明函 投标人应提交的资格证明材料.docx 响应函 磋商报价一览表.docx 商务条款偏离表.docx 监狱企业的证明文件 磋商报价一览表（二次）.docx 报价函.docx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项目部组成方案</w:t>
            </w:r>
          </w:p>
        </w:tc>
        <w:tc>
          <w:tcPr>
            <w:tcW w:type="dxa" w:w="2492"/>
          </w:tcPr>
          <w:p>
            <w:pPr>
              <w:pStyle w:val="null3"/>
            </w:pPr>
            <w:r>
              <w:rPr>
                <w:rFonts w:ascii="仿宋_GB2312" w:hAnsi="仿宋_GB2312" w:cs="仿宋_GB2312" w:eastAsia="仿宋_GB2312"/>
              </w:rPr>
              <w:t>一、评审内容：根据供应商针对本项目编写的项目部组成方案：包含但不限于①人员组织架构②分配计划③人员岗前职责④人员名单及相关证书（包含但不限于身份证、资格证）等进行计分： 二、评审标准： 项目部组成方案科学合理、人员表配置充足，有详细的人员配置清单，针对性强，能够很好的满足项目需求，得10分；项目部组成方案基本合理、人员表配置基本齐全，具有人员配置清单，有一定的针对性，能够满足项目需求，得8分；提供项目部组成方案情况，配置基本合理但组成不全面得6分；项目部组成人员缺乏科学合理性，无人员配置清单，无法满足项目需求，得4分； 项目部组成内容简单笼统得2分。未提供项目部组成不得0分。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一、评审内容：根据供应商针对本项目编写的整体施工方案：包含但不限于①服务管理流程及组织架构描述②操作规程描述③施工部署、技术重点、难点描述④维修维护方案等进行计分： 二、评审标准： 整体施工方案专门针对本项目编制，符合项目实际情况及实施要求，内容详尽且涵盖角度全面，合理性和可行性强，能够保障项目顺利实施的，得10分; 整体施工方案能够针对本项目编制，符合项目实际情况及实施要求，内容详尽且涵盖角度基本全面，有一定的合理性和可行性的，得8分; 方案基本能够针对本项目编制，基本符合项目实际情况及实施要求，内容较宽泛，涵盖角度不够全面，内容基本合理可行的，得6分; 具有方案内容但内容未贴合本项目，内容涵盖角度不够全面且实施有难度的，得4分; 具有方案内容但内容未针对本项目，内容空洞宽泛，基本不具有可实施性，得2分;未提供方案内容得0分。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安全生产、文明施工技术组织措施</w:t>
            </w:r>
          </w:p>
        </w:tc>
        <w:tc>
          <w:tcPr>
            <w:tcW w:type="dxa" w:w="2492"/>
          </w:tcPr>
          <w:p>
            <w:pPr>
              <w:pStyle w:val="null3"/>
            </w:pPr>
            <w:r>
              <w:rPr>
                <w:rFonts w:ascii="仿宋_GB2312" w:hAnsi="仿宋_GB2312" w:cs="仿宋_GB2312" w:eastAsia="仿宋_GB2312"/>
              </w:rPr>
              <w:t>一、评审内容：根据供应商针对本项目编写的安全生产、文明施工技术组织措施：包含但不限于①安全生产组织方案②环境保护措施③文明施工的技术组织措施④季节性施工安全措施⑤安全管理制度等进行计分： 二、评审标准： 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措施内容能够针对本项目编制，符合项目实际情况及实施要求，内容详尽且涵盖角度基本全面，有一定的合理性和可行性的，得8分; 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施工机械及材料方案</w:t>
            </w:r>
          </w:p>
        </w:tc>
        <w:tc>
          <w:tcPr>
            <w:tcW w:type="dxa" w:w="2492"/>
          </w:tcPr>
          <w:p>
            <w:pPr>
              <w:pStyle w:val="null3"/>
            </w:pPr>
            <w:r>
              <w:rPr>
                <w:rFonts w:ascii="仿宋_GB2312" w:hAnsi="仿宋_GB2312" w:cs="仿宋_GB2312" w:eastAsia="仿宋_GB2312"/>
              </w:rPr>
              <w:t>一、评审内容：根据供应商针对本项目编写的施工机械及材料方案：包含但不限于①施工机械方案②拟用材料明细③到场离场计划④质量控制措施⑤安全管理等进行计分： 二、评审标准： 投入计划专门针对本项目编制，符合项目实际情况及实施要求，内容详尽且涵盖角度全面，合理性和可行性强，能够保障项目顺利实施的，得10分; 投入计划基本针对本项目编制，符合项目实际情况及实施要求，内容详尽且涵盖角度基本全面，有一定的合理性和可行性的，得8分; 投入计划能够针对本项目编制，基本符合项目实际情况及实施要求，内容较详细，涵盖角度较全面但略有不完善，基本合理可行的，得6分;提供投入计划，但内容涵盖角度不够全面且实施具有一定难度，得4分; 投入计划内容简单笼统，实施难度大的，得2分;未提供投入计划内容得0分。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一、评审内容：根据供应商针对本项目编写的确保工期的技术组织措施：包含但不限于①接到委托后施工进度安排②工期及施工效率保证措施进行计分： 二、评审标准： 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措施内容能够针对本项目编制，符合项目实际情况及实施要求，内容详尽且涵盖角度基本全面，有一定的合理性和可行性的，得8分; 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一、评审内容：根据供应商针对本项目编写的工程质量技术组织措施：包含但不限于①保证质量，降低成本，防止环境污染措施②季节性施工质量保证措施等进行计分：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施工现场保护及扬尘污染防治措施措施</w:t>
            </w:r>
          </w:p>
        </w:tc>
        <w:tc>
          <w:tcPr>
            <w:tcW w:type="dxa" w:w="2492"/>
          </w:tcPr>
          <w:p>
            <w:pPr>
              <w:pStyle w:val="null3"/>
            </w:pPr>
            <w:r>
              <w:rPr>
                <w:rFonts w:ascii="仿宋_GB2312" w:hAnsi="仿宋_GB2312" w:cs="仿宋_GB2312" w:eastAsia="仿宋_GB2312"/>
              </w:rPr>
              <w:t>一、评审内容：根据供应商针对本项目编写的现场保护措施：①原有设施保护措施②已完工保护措施③扬尘污染防治措施措施等进行计分：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应用的技术、产品、工艺、材料等先进科学、可行性高得5分； 应用的技术、产品、工艺、材料等先进科学、可行性较高得4分； 应用的技术、产品、工艺、材料等科学性、可行性缺乏得3分； 应用的技术、产品、工艺、材料等科学性描述脱离实际得2分； 应用的技术、产品、工艺、材料等科学性不可行的得1分，未提供新技术、新产品、新工艺、新材料应用内容得0分。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一、评审内容：根据供应商针对本项目编写的突发事件应急预案：①安全事故应急预案②设施损坏预案③极端天气应急预案④学校重大活动应急预案等进行计分： 应急预案专门针对本项目编制，符合项目实际情况及实施要求，内容详尽且涵盖角度全面，合理性和可行性强，能够保障项目顺利实施的，得5分; 应急预案能够针对本项目编制，符合项目实际情况及实施要求，内容详尽且涵盖角度基本全面，有一定的合理性和可行性的，得4分; 预案基本能够针对本项目编制，基本符合项目实际情况及实施要求，内容较宽泛，涵盖角度不够全面，内容基本合理可行的，得3分;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供应商2023年4月1日至今类似项目业绩，每提供1份得2.5 分，最高得10分。 注：以供应商加盖公章的业绩合同或中标通知书复印件或扫描件为准，时间以合同签订时间或中标通知书日期为准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采用低价优先法计算，即满足磋商文件要求且最终报价（全费用综合单价之和）最低的供应商的价格为磋商基准价，其价格分为满分。磋商报价得分＝（磋商基准价/最后磋商报价（全费用综合单价之和））×20。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报价函.docx</w:t>
            </w:r>
          </w:p>
          <w:p>
            <w:pPr>
              <w:pStyle w:val="null3"/>
            </w:pPr>
            <w:r>
              <w:rPr>
                <w:rFonts w:ascii="仿宋_GB2312" w:hAnsi="仿宋_GB2312" w:cs="仿宋_GB2312" w:eastAsia="仿宋_GB2312"/>
              </w:rPr>
              <w:t>磋商报价一览表（二次）.docx</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技术方案.docx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详见附件：报价函.docx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详见附件：投标人应提交的资格证明材料.docx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详见附件：磋商报价一览表（二次）.docx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