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版本号：ZHJ-2026-01320260416001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绿化景观照亮运行维护服务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ZHJ-2026-013</w:t>
      </w:r>
      <w:r>
        <w:br/>
      </w:r>
      <w:r>
        <w:br/>
      </w:r>
      <w:r>
        <w:br/>
      </w:r>
    </w:p>
    <w:p>
      <w:pPr>
        <w:pStyle w:val="null3"/>
        <w:jc w:val="center"/>
        <w:outlineLvl w:val="2"/>
      </w:pPr>
      <w:r>
        <w:rPr>
          <w:rFonts w:ascii="仿宋_GB2312" w:hAnsi="仿宋_GB2312" w:cs="仿宋_GB2312" w:eastAsia="仿宋_GB2312"/>
          <w:sz w:val="28"/>
          <w:b/>
        </w:rPr>
        <w:t>西安市城市绿化事务中心</w:t>
      </w:r>
    </w:p>
    <w:p>
      <w:pPr>
        <w:pStyle w:val="null3"/>
        <w:jc w:val="center"/>
        <w:outlineLvl w:val="2"/>
      </w:pPr>
      <w:r>
        <w:rPr>
          <w:rFonts w:ascii="仿宋_GB2312" w:hAnsi="仿宋_GB2312" w:cs="仿宋_GB2312" w:eastAsia="仿宋_GB2312"/>
          <w:sz w:val="28"/>
          <w:b/>
        </w:rPr>
        <w:t>中鸿建（陕西）建设项目管理有限公司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中鸿建（陕西）建设项目管理有限公司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西安市城市绿化事务中心</w:t>
      </w:r>
      <w:r>
        <w:rPr>
          <w:rFonts w:ascii="仿宋_GB2312" w:hAnsi="仿宋_GB2312" w:cs="仿宋_GB2312" w:eastAsia="仿宋_GB2312"/>
        </w:rPr>
        <w:t>委托，拟对</w:t>
      </w:r>
      <w:r>
        <w:rPr>
          <w:rFonts w:ascii="仿宋_GB2312" w:hAnsi="仿宋_GB2312" w:cs="仿宋_GB2312" w:eastAsia="仿宋_GB2312"/>
        </w:rPr>
        <w:t>绿化景观照亮运行维护服务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ZHJ-2026-013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绿化景观照亮运行维护服务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1.本项目为西安市城市绿化事务中心监管范围内的长安路及南二环绿化景观照亮维护服务采购项目。 2.具体维护范围包括：南二环段：东南立交至昆明路沿线市管绿化带的变电箱、控制箱、地灯及景观灯；长安路段：南门至南二环沿线市管绿化带的照树灯、电箱及景观灯。 3.服务内容涵盖上述设施的日常巡检、故障修复、定期保养等全流程运行维护工作。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采购包1（绿化景观照亮运行维护服务）：属于专门面向中小企业采购。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法定代表人授权委托书：供应商法定代表人直接参与磋商的，须出具法定代表人身份证明（附法定代表人身份证复印件）；法定代表人授权代表参与磋商的，须出具法定代表人授权委托书（附法定代表人及授权代表身份证复印件)；</w:t>
      </w:r>
    </w:p>
    <w:p>
      <w:pPr>
        <w:pStyle w:val="null3"/>
      </w:pPr>
      <w:r>
        <w:rPr>
          <w:rFonts w:ascii="仿宋_GB2312" w:hAnsi="仿宋_GB2312" w:cs="仿宋_GB2312" w:eastAsia="仿宋_GB2312"/>
        </w:rPr>
        <w:t>3、财务状况报告：供应商须提供2024年度或2025年度的财务审计报告（至少包括资产负债表、利润表、现金流量表，成立时间至提交磋商响应文件截止时间不足一年的可提供成立后任意时段的资产负债表、利润表、现金流量表），或其基本存款账户开户银行出具的资信证明及基本存款账户开户许可证（或存款信息）；</w:t>
      </w:r>
    </w:p>
    <w:p>
      <w:pPr>
        <w:pStyle w:val="null3"/>
      </w:pPr>
      <w:r>
        <w:rPr>
          <w:rFonts w:ascii="仿宋_GB2312" w:hAnsi="仿宋_GB2312" w:cs="仿宋_GB2312" w:eastAsia="仿宋_GB2312"/>
        </w:rPr>
        <w:t>4、税收缴纳证明：供应商须提供磋商截止日前六个月已缴纳的至少一个月的纳税证明或完税证明，依法免税的单位应提供相关证明材料；</w:t>
      </w:r>
    </w:p>
    <w:p>
      <w:pPr>
        <w:pStyle w:val="null3"/>
      </w:pPr>
      <w:r>
        <w:rPr>
          <w:rFonts w:ascii="仿宋_GB2312" w:hAnsi="仿宋_GB2312" w:cs="仿宋_GB2312" w:eastAsia="仿宋_GB2312"/>
        </w:rPr>
        <w:t>5、社会保障资金缴纳证明：供应商须提供磋商截止日前六个月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供应商信誉要求：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pPr>
        <w:pStyle w:val="null3"/>
      </w:pPr>
      <w:r>
        <w:rPr>
          <w:rFonts w:ascii="仿宋_GB2312" w:hAnsi="仿宋_GB2312" w:cs="仿宋_GB2312" w:eastAsia="仿宋_GB2312"/>
        </w:rPr>
        <w:t>7、书面声明：供应商参加政府采购活动前三年内，在经营活动中没有重大违法记录的书面声明（提供承诺书）；</w:t>
      </w:r>
    </w:p>
    <w:p>
      <w:pPr>
        <w:pStyle w:val="null3"/>
      </w:pPr>
      <w:r>
        <w:rPr>
          <w:rFonts w:ascii="仿宋_GB2312" w:hAnsi="仿宋_GB2312" w:cs="仿宋_GB2312" w:eastAsia="仿宋_GB2312"/>
        </w:rPr>
        <w:t>8、承诺书：供应商须提供具有履行合同所必需的设备和专业技术能力的承诺（提供承诺书）</w:t>
      </w:r>
    </w:p>
    <w:p>
      <w:pPr>
        <w:pStyle w:val="null3"/>
      </w:pPr>
      <w:r>
        <w:rPr>
          <w:rFonts w:ascii="仿宋_GB2312" w:hAnsi="仿宋_GB2312" w:cs="仿宋_GB2312" w:eastAsia="仿宋_GB2312"/>
        </w:rPr>
        <w:t>9、非联合体承诺书：本项目不接受联合体磋商（提供承诺书）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西安市城市绿化事务中心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西安市未央区开成路18号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西安市城市绿化事务中心经办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02986783528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中鸿建（陕西）建设项目管理有限公司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 陕西省西安市浐灞生态区欧亚大道666号欧亚国际一期A座0917</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029-89878539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采购包1：673,600.00元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招标代理服务费参照国家发改委文件计价格(2002)1980号及发改价格(2011)534号文件规定标准下浮21%计取，按上述标准计算的代理服务费不足伍仟元（￥5000元）的则按伍仟元（￥5000元）收取，服务费由成交供应商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西安市城市绿化事务中心</w:t>
      </w:r>
      <w:r>
        <w:rPr>
          <w:rFonts w:ascii="仿宋_GB2312" w:hAnsi="仿宋_GB2312" w:cs="仿宋_GB2312" w:eastAsia="仿宋_GB2312"/>
        </w:rPr>
        <w:t>和</w:t>
      </w:r>
      <w:r>
        <w:rPr>
          <w:rFonts w:ascii="仿宋_GB2312" w:hAnsi="仿宋_GB2312" w:cs="仿宋_GB2312" w:eastAsia="仿宋_GB2312"/>
        </w:rPr>
        <w:t>中鸿建（陕西）建设项目管理有限公司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西安市城市绿化事务中心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中鸿建（陕西）建设项目管理有限公司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西安市城市绿化事务中心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中鸿建（陕西）建设项目管理有限公司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符合国家相关标准、磋商文件及磋商响应文件承诺的相关内容及合同约定的内容。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联系人：闫工</w:t>
      </w:r>
    </w:p>
    <w:p>
      <w:pPr>
        <w:pStyle w:val="null3"/>
      </w:pPr>
      <w:r>
        <w:rPr>
          <w:rFonts w:ascii="仿宋_GB2312" w:hAnsi="仿宋_GB2312" w:cs="仿宋_GB2312" w:eastAsia="仿宋_GB2312"/>
        </w:rPr>
        <w:t>联系电话：029-89878539</w:t>
      </w:r>
    </w:p>
    <w:p>
      <w:pPr>
        <w:pStyle w:val="null3"/>
      </w:pPr>
      <w:r>
        <w:rPr>
          <w:rFonts w:ascii="仿宋_GB2312" w:hAnsi="仿宋_GB2312" w:cs="仿宋_GB2312" w:eastAsia="仿宋_GB2312"/>
        </w:rPr>
        <w:t>地址：陕西省西安市浐灞生态区欧亚大道666号欧亚国际一期A座0917</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1.本项目为西安市城市绿化事务中心监管范围内的长安路及南二环绿化景观照亮维护服务采购项目。 2.具体维护范围包括：南二环段：东南立交至昆明路沿线市管绿化带的变电箱、控制箱、地灯及景观灯；长安路段：南门至南二环沿线市管绿化带的照树灯、电箱及景观灯。 3.服务内容涵盖上述设施的日常巡检、故障修复、定期保养等全流程运行维护工作。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673,600.00</w:t>
      </w:r>
    </w:p>
    <w:p>
      <w:pPr>
        <w:pStyle w:val="null3"/>
      </w:pPr>
      <w:r>
        <w:rPr>
          <w:rFonts w:ascii="仿宋_GB2312" w:hAnsi="仿宋_GB2312" w:cs="仿宋_GB2312" w:eastAsia="仿宋_GB2312"/>
        </w:rPr>
        <w:t>采购包最高限价（元）: 673,600.00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绿化景观照亮运行维护服务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673,600.00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标的名称：绿化景观照亮运行维护服务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一、项目基本情况介绍</w:t>
            </w:r>
          </w:p>
          <w:p>
            <w:pPr>
              <w:pStyle w:val="null3"/>
              <w:jc w:val="both"/>
            </w:pPr>
            <w:r>
              <w:rPr>
                <w:rFonts w:ascii="仿宋_GB2312" w:hAnsi="仿宋_GB2312" w:cs="仿宋_GB2312" w:eastAsia="仿宋_GB2312"/>
                <w:sz w:val="18"/>
              </w:rPr>
              <w:t xml:space="preserve">  1.本项目为西安市城市绿化事务中心监管范围内，长安路及南二环绿化景观照亮维护服务采购项目。</w:t>
            </w:r>
          </w:p>
          <w:p>
            <w:pPr>
              <w:pStyle w:val="null3"/>
              <w:jc w:val="both"/>
            </w:pPr>
            <w:r>
              <w:rPr>
                <w:rFonts w:ascii="仿宋_GB2312" w:hAnsi="仿宋_GB2312" w:cs="仿宋_GB2312" w:eastAsia="仿宋_GB2312"/>
                <w:sz w:val="18"/>
              </w:rPr>
              <w:t xml:space="preserve">  2.具体维护范围包括：南二环段：东南立交至昆明路沿线市管绿化带的变电箱、控制箱、地灯及景观灯；长安路段：南门至南二环沿线市管绿化带的照树灯、电箱及景观灯。</w:t>
            </w:r>
          </w:p>
          <w:p>
            <w:pPr>
              <w:pStyle w:val="null3"/>
              <w:jc w:val="both"/>
            </w:pPr>
            <w:r>
              <w:rPr>
                <w:rFonts w:ascii="仿宋_GB2312" w:hAnsi="仿宋_GB2312" w:cs="仿宋_GB2312" w:eastAsia="仿宋_GB2312"/>
                <w:sz w:val="18"/>
              </w:rPr>
              <w:t xml:space="preserve">  3.服务内容涵盖上述设施的日常巡检、故障修复、定期保养等全流程运行维护工作。</w:t>
            </w:r>
          </w:p>
          <w:p>
            <w:pPr>
              <w:pStyle w:val="null3"/>
              <w:jc w:val="both"/>
            </w:pPr>
            <w:r>
              <w:rPr>
                <w:rFonts w:ascii="仿宋_GB2312" w:hAnsi="仿宋_GB2312" w:cs="仿宋_GB2312" w:eastAsia="仿宋_GB2312"/>
                <w:sz w:val="18"/>
              </w:rPr>
              <w:t>二、维护标准</w:t>
            </w:r>
          </w:p>
          <w:p>
            <w:pPr>
              <w:pStyle w:val="null3"/>
              <w:jc w:val="both"/>
            </w:pPr>
            <w:r>
              <w:rPr>
                <w:rFonts w:ascii="仿宋_GB2312" w:hAnsi="仿宋_GB2312" w:cs="仿宋_GB2312" w:eastAsia="仿宋_GB2312"/>
                <w:sz w:val="18"/>
              </w:rPr>
              <w:t>（一）亮灯率要求</w:t>
            </w:r>
          </w:p>
          <w:p>
            <w:pPr>
              <w:pStyle w:val="null3"/>
              <w:ind w:firstLine="640"/>
              <w:jc w:val="both"/>
            </w:pPr>
            <w:r>
              <w:rPr>
                <w:rFonts w:ascii="仿宋_GB2312" w:hAnsi="仿宋_GB2312" w:cs="仿宋_GB2312" w:eastAsia="仿宋_GB2312"/>
                <w:sz w:val="18"/>
              </w:rPr>
              <w:t>景观照明的亮灯率应达到95%及以上；重大节假日和重大活动期间亮灯率不低于97%。</w:t>
            </w:r>
          </w:p>
          <w:p>
            <w:pPr>
              <w:pStyle w:val="null3"/>
              <w:jc w:val="both"/>
            </w:pPr>
            <w:r>
              <w:rPr>
                <w:rFonts w:ascii="仿宋_GB2312" w:hAnsi="仿宋_GB2312" w:cs="仿宋_GB2312" w:eastAsia="仿宋_GB2312"/>
                <w:sz w:val="18"/>
              </w:rPr>
              <w:t>（二）设施综合完好率要求</w:t>
            </w:r>
          </w:p>
          <w:p>
            <w:pPr>
              <w:pStyle w:val="null3"/>
              <w:ind w:firstLine="640"/>
              <w:jc w:val="both"/>
            </w:pPr>
            <w:r>
              <w:rPr>
                <w:rFonts w:ascii="仿宋_GB2312" w:hAnsi="仿宋_GB2312" w:cs="仿宋_GB2312" w:eastAsia="仿宋_GB2312"/>
                <w:sz w:val="18"/>
              </w:rPr>
              <w:t>景观照明的综合设施完好率应达到95%及以上；重大节假日和重大活动期间设施综合完好率不低于97%。</w:t>
            </w:r>
          </w:p>
          <w:p>
            <w:pPr>
              <w:pStyle w:val="null3"/>
              <w:jc w:val="both"/>
            </w:pPr>
            <w:r>
              <w:rPr>
                <w:rFonts w:ascii="仿宋_GB2312" w:hAnsi="仿宋_GB2312" w:cs="仿宋_GB2312" w:eastAsia="仿宋_GB2312"/>
                <w:sz w:val="18"/>
              </w:rPr>
              <w:t>（三）灯具维护规范</w:t>
            </w:r>
          </w:p>
          <w:p>
            <w:pPr>
              <w:pStyle w:val="null3"/>
              <w:ind w:firstLine="640"/>
              <w:jc w:val="both"/>
            </w:pPr>
            <w:r>
              <w:rPr>
                <w:rFonts w:ascii="仿宋_GB2312" w:hAnsi="仿宋_GB2312" w:cs="仿宋_GB2312" w:eastAsia="仿宋_GB2312"/>
                <w:sz w:val="18"/>
              </w:rPr>
              <w:t>所有维护作业必须在断电状态下进行，严格遵守电气安全操作规程；维护过程中应保护光源及灯具各部件完整性，严禁随意调整或更改原有设计安装位置；灯具清洁、部件紧固及故障修复等作业需确保修复后灯具性能达到原设计要求。</w:t>
            </w:r>
          </w:p>
          <w:p>
            <w:pPr>
              <w:pStyle w:val="null3"/>
              <w:jc w:val="both"/>
            </w:pPr>
            <w:r>
              <w:rPr>
                <w:rFonts w:ascii="仿宋_GB2312" w:hAnsi="仿宋_GB2312" w:cs="仿宋_GB2312" w:eastAsia="仿宋_GB2312"/>
                <w:sz w:val="18"/>
              </w:rPr>
              <w:t>（四）电线、电缆维护规范</w:t>
            </w:r>
          </w:p>
          <w:p>
            <w:pPr>
              <w:pStyle w:val="null3"/>
              <w:ind w:firstLine="640"/>
              <w:jc w:val="both"/>
            </w:pPr>
            <w:r>
              <w:rPr>
                <w:rFonts w:ascii="仿宋_GB2312" w:hAnsi="仿宋_GB2312" w:cs="仿宋_GB2312" w:eastAsia="仿宋_GB2312"/>
                <w:sz w:val="18"/>
              </w:rPr>
              <w:t>电缆线路发生故障后，必须立即启动应急维护程序，防止水分侵入扩大故障范围；更换电线电缆时，必须由具备专业资质的作业人员现场指导，并向施工人员明确安全操作事项；导线截面选取需与原线路规格保持一致；电缆电线更换完成后，必须按照标准工艺进行绝缘密封处理，确保线路绝缘性能达标。</w:t>
            </w:r>
          </w:p>
          <w:p>
            <w:pPr>
              <w:pStyle w:val="null3"/>
              <w:jc w:val="both"/>
            </w:pPr>
            <w:r>
              <w:rPr>
                <w:rFonts w:ascii="仿宋_GB2312" w:hAnsi="仿宋_GB2312" w:cs="仿宋_GB2312" w:eastAsia="仿宋_GB2312"/>
                <w:sz w:val="18"/>
              </w:rPr>
              <w:t>（五）配电设备维护规范</w:t>
            </w:r>
          </w:p>
          <w:p>
            <w:pPr>
              <w:pStyle w:val="null3"/>
              <w:ind w:firstLine="640"/>
              <w:jc w:val="both"/>
            </w:pPr>
            <w:r>
              <w:rPr>
                <w:rFonts w:ascii="仿宋_GB2312" w:hAnsi="仿宋_GB2312" w:cs="仿宋_GB2312" w:eastAsia="仿宋_GB2312"/>
                <w:sz w:val="18"/>
              </w:rPr>
              <w:t>配电箱及内部电气设备系统应每月进行全面检查与预防性维修，检查内容包括：配电箱外壳完整性及防护等级符合性；开关、断路器等配电设备配件的完好性及操作灵活性；各设备紧固件无松动、锈蚀现象；配电箱内电器元件及导线绝缘层无破损、老化，部件无变形缺损；接触器、继电器等元器件外观完好，触点接触良好，无松动、过热、异响等异常情况。严禁任意转换配电设备负荷，确需调整时需经技术部门评估并出具书面方案；维修或更换配电设备部件时，必须使用与原件型号、规格、性能参数一致的产品，严禁擅自变更设备规格或型号。</w:t>
            </w:r>
          </w:p>
          <w:p>
            <w:pPr>
              <w:pStyle w:val="null3"/>
              <w:jc w:val="both"/>
            </w:pPr>
            <w:r>
              <w:rPr>
                <w:rFonts w:ascii="仿宋_GB2312" w:hAnsi="仿宋_GB2312" w:cs="仿宋_GB2312" w:eastAsia="仿宋_GB2312"/>
                <w:sz w:val="18"/>
              </w:rPr>
              <w:t>（六）作业人员配备要求</w:t>
            </w:r>
          </w:p>
          <w:p>
            <w:pPr>
              <w:pStyle w:val="null3"/>
              <w:jc w:val="both"/>
            </w:pPr>
            <w:r>
              <w:rPr>
                <w:rFonts w:ascii="仿宋_GB2312" w:hAnsi="仿宋_GB2312" w:cs="仿宋_GB2312" w:eastAsia="仿宋_GB2312"/>
                <w:sz w:val="18"/>
              </w:rPr>
              <w:t>1、服务商需配备足量的具备电气设备维修、电路故障排查等专业技能的维护作业人员，作业人员须持有电工操作证等对应岗位的合法资质证书。</w:t>
            </w:r>
          </w:p>
          <w:p>
            <w:pPr>
              <w:pStyle w:val="null3"/>
              <w:jc w:val="both"/>
            </w:pPr>
            <w:r>
              <w:rPr>
                <w:rFonts w:ascii="仿宋_GB2312" w:hAnsi="仿宋_GB2312" w:cs="仿宋_GB2312" w:eastAsia="仿宋_GB2312"/>
                <w:sz w:val="18"/>
              </w:rPr>
              <w:t>2、服务商需建立常态化技术培训机制，定期组织作业人员开展景观照明设施维护专项技能培训，考核合格后方可上岗作业，确保人员技术能力满足项目维护需求。</w:t>
            </w:r>
          </w:p>
          <w:p>
            <w:pPr>
              <w:pStyle w:val="null3"/>
              <w:jc w:val="both"/>
            </w:pPr>
            <w:r>
              <w:rPr>
                <w:rFonts w:ascii="仿宋_GB2312" w:hAnsi="仿宋_GB2312" w:cs="仿宋_GB2312" w:eastAsia="仿宋_GB2312"/>
                <w:sz w:val="18"/>
              </w:rPr>
              <w:t>3、作业人员需熟悉本项目范围内各类照明设施的型号、性能及维护要点，能够快速识别并解决常见故障，保障设施运行稳定。</w:t>
            </w:r>
          </w:p>
          <w:p>
            <w:pPr>
              <w:pStyle w:val="null3"/>
              <w:jc w:val="both"/>
            </w:pPr>
            <w:r>
              <w:rPr>
                <w:rFonts w:ascii="仿宋_GB2312" w:hAnsi="仿宋_GB2312" w:cs="仿宋_GB2312" w:eastAsia="仿宋_GB2312"/>
                <w:sz w:val="18"/>
              </w:rPr>
              <w:t>4、服务商需指定专业技术负责人，负责统筹项目技术指导、故障研判及重大维修方案制定，技术负责人须具备2年以上景观照明维护相关工作经验。</w:t>
            </w:r>
          </w:p>
          <w:p>
            <w:pPr>
              <w:pStyle w:val="null3"/>
              <w:jc w:val="both"/>
            </w:pPr>
            <w:r>
              <w:rPr>
                <w:rFonts w:ascii="仿宋_GB2312" w:hAnsi="仿宋_GB2312" w:cs="仿宋_GB2312" w:eastAsia="仿宋_GB2312"/>
                <w:sz w:val="18"/>
              </w:rPr>
              <w:t>5、服务商需严格遵守西安市最低工资标准及相关劳动保障法律法规，为作业人员按时足额发放工资，工资水平不得低于当地同类岗位市场平均水平。</w:t>
            </w:r>
          </w:p>
          <w:p>
            <w:pPr>
              <w:pStyle w:val="null3"/>
              <w:jc w:val="both"/>
            </w:pPr>
            <w:r>
              <w:rPr>
                <w:rFonts w:ascii="仿宋_GB2312" w:hAnsi="仿宋_GB2312" w:cs="仿宋_GB2312" w:eastAsia="仿宋_GB2312"/>
                <w:sz w:val="18"/>
              </w:rPr>
              <w:t>三、维护期及预算费用</w:t>
            </w:r>
          </w:p>
          <w:p>
            <w:pPr>
              <w:pStyle w:val="null3"/>
              <w:ind w:firstLine="640"/>
              <w:jc w:val="both"/>
            </w:pPr>
            <w:r>
              <w:rPr>
                <w:rFonts w:ascii="仿宋_GB2312" w:hAnsi="仿宋_GB2312" w:cs="仿宋_GB2312" w:eastAsia="仿宋_GB2312"/>
                <w:sz w:val="18"/>
              </w:rPr>
              <w:t>本项目维护期自合同签订之日起至2026年12月31日；预算费用包含人工、材料、设备、运输、保险、税费等所有维护相关成本。</w:t>
            </w:r>
          </w:p>
          <w:p>
            <w:pPr>
              <w:pStyle w:val="null3"/>
              <w:jc w:val="both"/>
            </w:pPr>
            <w:r>
              <w:rPr>
                <w:rFonts w:ascii="仿宋_GB2312" w:hAnsi="仿宋_GB2312" w:cs="仿宋_GB2312" w:eastAsia="仿宋_GB2312"/>
                <w:sz w:val="18"/>
              </w:rPr>
              <w:t>四、考核及奖惩办法</w:t>
            </w:r>
          </w:p>
          <w:p>
            <w:pPr>
              <w:pStyle w:val="null3"/>
              <w:ind w:firstLine="640"/>
              <w:jc w:val="both"/>
            </w:pPr>
            <w:r>
              <w:rPr>
                <w:rFonts w:ascii="仿宋_GB2312" w:hAnsi="仿宋_GB2312" w:cs="仿宋_GB2312" w:eastAsia="仿宋_GB2312"/>
                <w:sz w:val="18"/>
              </w:rPr>
              <w:t>为加强市管范围内长安路及南二环绿化带景观照明设施的日常维护、巡查与考核管理，保障景观照明设施完好率与正常运行率，依据《园林绿化养护技术规范》（DB 6101/T 3238-2025）、《城市道路照明设施运行维护与管理规范》（DB 6101/T 3208-2024）等文件要求，特制定本巡查考核管理制度，旨在动态掌握设施运行状态，精准评定服务质量，推动维护工作标准化、精细化。</w:t>
            </w:r>
          </w:p>
          <w:p>
            <w:pPr>
              <w:pStyle w:val="null3"/>
              <w:jc w:val="both"/>
            </w:pPr>
            <w:r>
              <w:rPr>
                <w:rFonts w:ascii="仿宋_GB2312" w:hAnsi="仿宋_GB2312" w:cs="仿宋_GB2312" w:eastAsia="仿宋_GB2312"/>
                <w:sz w:val="18"/>
              </w:rPr>
              <w:t>（一）考核对象</w:t>
            </w:r>
          </w:p>
          <w:p>
            <w:pPr>
              <w:pStyle w:val="null3"/>
              <w:ind w:firstLine="560"/>
              <w:jc w:val="both"/>
            </w:pPr>
            <w:r>
              <w:rPr>
                <w:rFonts w:ascii="仿宋_GB2312" w:hAnsi="仿宋_GB2312" w:cs="仿宋_GB2312" w:eastAsia="仿宋_GB2312"/>
                <w:sz w:val="18"/>
              </w:rPr>
              <w:t>长安路及南二环绿化带景观照明维护服务项目中标单位。</w:t>
            </w:r>
          </w:p>
          <w:p>
            <w:pPr>
              <w:pStyle w:val="null3"/>
              <w:jc w:val="both"/>
            </w:pPr>
            <w:r>
              <w:rPr>
                <w:rFonts w:ascii="仿宋_GB2312" w:hAnsi="仿宋_GB2312" w:cs="仿宋_GB2312" w:eastAsia="仿宋_GB2312"/>
                <w:sz w:val="18"/>
              </w:rPr>
              <w:t>（二）考核标准</w:t>
            </w:r>
          </w:p>
          <w:p>
            <w:pPr>
              <w:pStyle w:val="null3"/>
              <w:ind w:firstLine="640"/>
              <w:jc w:val="both"/>
            </w:pPr>
            <w:r>
              <w:rPr>
                <w:rFonts w:ascii="仿宋_GB2312" w:hAnsi="仿宋_GB2312" w:cs="仿宋_GB2312" w:eastAsia="仿宋_GB2312"/>
                <w:sz w:val="18"/>
              </w:rPr>
              <w:t>严格遵循《园林绿化养护技术规范》（DB 6101/T 3238-2025）与《城市道路照明设施运行维护与管理规范》（DB 6101/T 3208-2024）中关于供电照明设施维护的二级质量等级要求，从设施完好性、故障响应时效、维修质量、安全管理等维度进行综合量化考评，具体评分细则详见附表。</w:t>
            </w:r>
          </w:p>
          <w:p>
            <w:pPr>
              <w:pStyle w:val="null3"/>
              <w:jc w:val="both"/>
            </w:pPr>
            <w:r>
              <w:rPr>
                <w:rFonts w:ascii="仿宋_GB2312" w:hAnsi="仿宋_GB2312" w:cs="仿宋_GB2312" w:eastAsia="仿宋_GB2312"/>
                <w:sz w:val="18"/>
              </w:rPr>
              <w:t>（三）考核人员组成</w:t>
            </w:r>
          </w:p>
          <w:p>
            <w:pPr>
              <w:pStyle w:val="null3"/>
              <w:ind w:firstLine="640"/>
              <w:jc w:val="both"/>
            </w:pPr>
            <w:r>
              <w:rPr>
                <w:rFonts w:ascii="仿宋_GB2312" w:hAnsi="仿宋_GB2312" w:cs="仿宋_GB2312" w:eastAsia="仿宋_GB2312"/>
                <w:sz w:val="18"/>
              </w:rPr>
              <w:t>考核工作以西安市城市绿化事务中心为主体，由相关部门人员参与。考核组设组长1名，由中心分管领导担任，成员总数不少于3人，确保考核过程公开透明、结果客观公正。</w:t>
            </w:r>
          </w:p>
          <w:p>
            <w:pPr>
              <w:pStyle w:val="null3"/>
              <w:jc w:val="both"/>
            </w:pPr>
            <w:r>
              <w:rPr>
                <w:rFonts w:ascii="仿宋_GB2312" w:hAnsi="仿宋_GB2312" w:cs="仿宋_GB2312" w:eastAsia="仿宋_GB2312"/>
                <w:sz w:val="18"/>
              </w:rPr>
              <w:t>（四）奖惩办法</w:t>
            </w:r>
          </w:p>
          <w:p>
            <w:pPr>
              <w:pStyle w:val="null3"/>
              <w:ind w:firstLine="560"/>
              <w:jc w:val="both"/>
            </w:pPr>
            <w:r>
              <w:rPr>
                <w:rFonts w:ascii="仿宋_GB2312" w:hAnsi="仿宋_GB2312" w:cs="仿宋_GB2312" w:eastAsia="仿宋_GB2312"/>
                <w:sz w:val="18"/>
              </w:rPr>
              <w:t>1.每月评分≥85分，不扣除维护费；80--85（包括80分）分之间每低一分扣除年度维护费用的0.03%，75--80分之间（含75分）每低一分扣除年度维护费用的0.06%，低于75分扣除年度维护费的0.5%；</w:t>
            </w:r>
          </w:p>
          <w:p>
            <w:pPr>
              <w:pStyle w:val="null3"/>
              <w:ind w:firstLine="560"/>
              <w:jc w:val="both"/>
            </w:pPr>
            <w:r>
              <w:rPr>
                <w:rFonts w:ascii="仿宋_GB2312" w:hAnsi="仿宋_GB2312" w:cs="仿宋_GB2312" w:eastAsia="仿宋_GB2312"/>
                <w:sz w:val="18"/>
              </w:rPr>
              <w:t>2.维护单位因同一项目受到市级及以上部门通报批评的，当月考核直接扣减5分；因管理不善导致设施故障、安全隐患等问题被各类媒体曝光并造成不良社会影响的，当月考核扣减2分。</w:t>
            </w:r>
          </w:p>
          <w:p>
            <w:pPr>
              <w:pStyle w:val="null3"/>
              <w:ind w:firstLine="560"/>
              <w:jc w:val="both"/>
            </w:pPr>
            <w:r>
              <w:rPr>
                <w:rFonts w:ascii="仿宋_GB2312" w:hAnsi="仿宋_GB2312" w:cs="仿宋_GB2312" w:eastAsia="仿宋_GB2312"/>
                <w:sz w:val="18"/>
              </w:rPr>
              <w:t>3.合同终止情形：若维护单位在本次服务期内出现3次及以上月度考核得分低于75分的情况，采购人有权单方终止服务合同，并依据合同约定追究相关责任。</w:t>
            </w:r>
          </w:p>
          <w:p>
            <w:pPr>
              <w:pStyle w:val="null3"/>
              <w:jc w:val="both"/>
            </w:pPr>
            <w:r>
              <w:rPr>
                <w:rFonts w:ascii="仿宋_GB2312" w:hAnsi="仿宋_GB2312" w:cs="仿宋_GB2312" w:eastAsia="仿宋_GB2312"/>
                <w:sz w:val="18"/>
                <w:b/>
              </w:rPr>
              <w:t>五、日常养护支付</w:t>
            </w:r>
          </w:p>
          <w:p>
            <w:pPr>
              <w:pStyle w:val="null3"/>
              <w:ind w:firstLine="640"/>
              <w:jc w:val="both"/>
            </w:pPr>
            <w:r>
              <w:rPr>
                <w:rFonts w:ascii="仿宋_GB2312" w:hAnsi="仿宋_GB2312" w:cs="仿宋_GB2312" w:eastAsia="仿宋_GB2312"/>
                <w:sz w:val="18"/>
              </w:rPr>
              <w:t>维护费用实行月度考核、月度支付机制。每月考核工作完成后，由西安市城市绿化事务中心根据最终考核结果，按照合同约定的支付流程与比例，于次月15日前完成当月维护费用的核算与拨付。若存在考核扣款情形，需在支付凭证中明确扣款事由及金额，确保费用支付与服务质量直接挂钩。</w:t>
            </w:r>
          </w:p>
          <w:p>
            <w:pPr>
              <w:pStyle w:val="null3"/>
              <w:ind w:firstLine="602"/>
              <w:jc w:val="both"/>
            </w:pPr>
            <w:r>
              <w:rPr>
                <w:rFonts w:ascii="仿宋_GB2312" w:hAnsi="仿宋_GB2312" w:cs="仿宋_GB2312" w:eastAsia="仿宋_GB2312"/>
                <w:sz w:val="18"/>
                <w:b/>
              </w:rPr>
              <w:t>附表：</w:t>
            </w:r>
          </w:p>
          <w:p>
            <w:pPr>
              <w:pStyle w:val="null3"/>
              <w:ind w:firstLine="562"/>
              <w:jc w:val="center"/>
            </w:pPr>
            <w:r>
              <w:rPr>
                <w:rFonts w:ascii="仿宋_GB2312" w:hAnsi="仿宋_GB2312" w:cs="仿宋_GB2312" w:eastAsia="仿宋_GB2312"/>
                <w:sz w:val="18"/>
                <w:b/>
              </w:rPr>
              <w:t>月度考核评分表</w:t>
            </w:r>
          </w:p>
          <w:tbl>
            <w:tblPr>
              <w:tblBorders>
                <w:top w:val="none" w:color="000000" w:sz="4"/>
                <w:left w:val="none" w:color="000000" w:sz="4"/>
                <w:bottom w:val="none" w:color="000000" w:sz="4"/>
                <w:right w:val="none" w:color="000000" w:sz="4"/>
                <w:insideH w:val="none"/>
                <w:insideV w:val="none"/>
              </w:tblBorders>
            </w:tblPr>
            <w:tblGrid>
              <w:gridCol w:w="238"/>
              <w:gridCol w:w="288"/>
              <w:gridCol w:w="859"/>
              <w:gridCol w:w="287"/>
              <w:gridCol w:w="524"/>
              <w:gridCol w:w="356"/>
            </w:tblGrid>
            <w:tr>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考核范围</w:t>
                  </w:r>
                </w:p>
              </w:tc>
              <w:tc>
                <w:tcPr>
                  <w:tcW w:type="dxa" w:w="11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20" w:firstLine="422"/>
                    <w:jc w:val="center"/>
                  </w:pPr>
                </w:p>
              </w:tc>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考核时间</w:t>
                  </w:r>
                </w:p>
              </w:tc>
              <w:tc>
                <w:tcPr>
                  <w:tcW w:type="dxa" w:w="88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20"/>
                    <w:jc w:val="center"/>
                  </w:pPr>
                </w:p>
              </w:tc>
            </w:tr>
            <w:tr>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考核内容</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20" w:firstLine="422"/>
                    <w:jc w:val="center"/>
                  </w:pPr>
                  <w:r>
                    <w:rPr>
                      <w:rFonts w:ascii="仿宋_GB2312" w:hAnsi="仿宋_GB2312" w:cs="仿宋_GB2312" w:eastAsia="仿宋_GB2312"/>
                      <w:sz w:val="18"/>
                    </w:rPr>
                    <w:t>养护管理作业标准</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20"/>
                    <w:jc w:val="center"/>
                  </w:pPr>
                  <w:r>
                    <w:rPr>
                      <w:rFonts w:ascii="仿宋_GB2312" w:hAnsi="仿宋_GB2312" w:cs="仿宋_GB2312" w:eastAsia="仿宋_GB2312"/>
                      <w:sz w:val="18"/>
                    </w:rPr>
                    <w:t>评分标准</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20"/>
                    <w:jc w:val="center"/>
                  </w:pPr>
                  <w:r>
                    <w:rPr>
                      <w:rFonts w:ascii="仿宋_GB2312" w:hAnsi="仿宋_GB2312" w:cs="仿宋_GB2312" w:eastAsia="仿宋_GB2312"/>
                      <w:sz w:val="18"/>
                    </w:rPr>
                    <w:t>具体位置</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20"/>
                    <w:jc w:val="center"/>
                  </w:pPr>
                  <w:r>
                    <w:rPr>
                      <w:rFonts w:ascii="仿宋_GB2312" w:hAnsi="仿宋_GB2312" w:cs="仿宋_GB2312" w:eastAsia="仿宋_GB2312"/>
                      <w:sz w:val="18"/>
                    </w:rPr>
                    <w:t>评分</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亮灯率与完好率（30分）</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照树灯亮灯率需达到95%及以上，照树灯灯体、灯具、线路、控制系统等设施完好率需保持在95%及以上。</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一处不达标扣0.5分</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日常维护管理（30分）</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维护单位需制定详细巡查计划，每周至少巡查1次，并有完整巡查记录。一般故障（如灯泡损坏、线路简单故障）24小时内修复；重大故障（如控制系统瘫痪、大面积灯具损坏）48小时内修复。</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一处不达标扣0.5分</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安全管理（20分）</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维修施工期间，严格遵守安全操作规程，设置明显安全警示标志，配备必要安全防护设备。</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一处不达标扣0.5分</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景观效果（10分）</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可正常亮灯，保障城市道路正常景观效果。</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一处不达标扣0.5分</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响应与服务（10分）</w:t>
                  </w:r>
                </w:p>
                <w:p>
                  <w:pPr>
                    <w:pStyle w:val="null3"/>
                    <w:jc w:val="center"/>
                  </w:p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对市民投诉、政府部门反馈问题，24小时内响应，48小时内解决并反馈处理结果。积极配合上级单位工作，及时反馈项目进展。</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一处不达标扣0.5分</w:t>
                  </w:r>
                </w:p>
              </w:tc>
              <w:tc>
                <w:tcPr>
                  <w:tcW w:type="dxa" w:w="5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备　注</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此表满分为100分，各项最低得分为0分，不计负分。</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说明：</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每月评分≥85分，不扣除维护费；月综合考评以市绿化事务中心为主体，由相关部门参与考评，分管领导担任考核组组长，总人数不少于3人；</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综合考评分</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 考核组（签字盖章）</w:t>
                  </w:r>
                </w:p>
              </w:tc>
              <w:tc>
                <w:tcPr>
                  <w:tcW w:type="dxa" w:w="116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维护单位（签字盖章）</w:t>
                  </w:r>
                </w:p>
              </w:tc>
            </w:tr>
            <w:tr>
              <w:tc>
                <w:tcPr>
                  <w:tcW w:type="dxa" w:w="13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30"/>
                    <w:jc w:val="left"/>
                  </w:pPr>
                  <w:r>
                    <w:rPr>
                      <w:rFonts w:ascii="仿宋_GB2312" w:hAnsi="仿宋_GB2312" w:cs="仿宋_GB2312" w:eastAsia="仿宋_GB2312"/>
                      <w:sz w:val="18"/>
                    </w:rPr>
                    <w:t>考核组长：</w:t>
                  </w:r>
                </w:p>
                <w:p>
                  <w:pPr>
                    <w:pStyle w:val="null3"/>
                    <w:ind w:firstLine="1050"/>
                    <w:jc w:val="left"/>
                  </w:pPr>
                  <w:r>
                    <w:rPr>
                      <w:rFonts w:ascii="仿宋_GB2312" w:hAnsi="仿宋_GB2312" w:cs="仿宋_GB2312" w:eastAsia="仿宋_GB2312"/>
                      <w:sz w:val="18"/>
                    </w:rPr>
                    <w:t>成员：</w:t>
                  </w:r>
                </w:p>
                <w:p>
                  <w:pPr>
                    <w:pStyle w:val="null3"/>
                    <w:jc w:val="left"/>
                  </w:pPr>
                  <w:r>
                    <w:rPr>
                      <w:rFonts w:ascii="仿宋_GB2312" w:hAnsi="仿宋_GB2312" w:cs="仿宋_GB2312" w:eastAsia="仿宋_GB2312"/>
                      <w:sz w:val="18"/>
                    </w:rPr>
                    <w:t>（盖章）</w:t>
                  </w:r>
                </w:p>
              </w:tc>
              <w:tc>
                <w:tcPr>
                  <w:tcW w:type="dxa" w:w="116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18"/>
                    </w:rPr>
                    <w:t>单位负责人：</w:t>
                  </w:r>
                </w:p>
                <w:p>
                  <w:pPr>
                    <w:pStyle w:val="null3"/>
                    <w:ind w:firstLine="420"/>
                    <w:jc w:val="both"/>
                  </w:pPr>
                  <w:r>
                    <w:rPr>
                      <w:rFonts w:ascii="仿宋_GB2312" w:hAnsi="仿宋_GB2312" w:cs="仿宋_GB2312" w:eastAsia="仿宋_GB2312"/>
                      <w:sz w:val="18"/>
                    </w:rPr>
                    <w:t>（盖章）</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根据服务要求和评审细则自行配置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根据服务要求和评审细则自行配置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服务标准：严格按照《园林绿化养护技术规范》（DB 6101/T 3238-2025）与《 城市道路照明设施运行维护与管理规范》（DB 6101/T 3208-2024）管理服务类设施维护质量等级及要求中供电照明设施维护二级质量等级执行。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 服务完毕后，由采购人根据合同对其内容进行验收。 2、验收不合格的成交单位，必须在接到通知后7个日历日内确保通过验收。如接到通知后7个日历日内验收仍不合格，采购人可提出索赔或取消其合同。采购代理机构将把成交资格授予评审排序下一名的供应商。 3、验收依据 （1）合同文本及合同补充文件（条款）。 （2）磋商文件。 （3）成交单位的磋商响应文件。 （4）国家相关法律法规。</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实行月度考核、月度支付机制。每月考核工作完成后，由西安市城市绿化事务中心根据最终考核结果</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实行月度考核、月度支付机制。每月考核工作完成后，由西安市城市绿化事务中心根据最终考核结果</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实行月度考核、月度支付机制。每月考核工作完成后，由西安市城市绿化事务中心根据最终考核结果</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实行月度考核、月度支付机制。每月考核工作完成后，由西安市城市绿化事务中心根据最终考核结果</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实行月度考核、月度支付机制。每月考核工作完成后，由西安市城市绿化事务中心根据最终考核结果</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实行月度考核、月度支付机制。每月考核工作完成后，由西安市城市绿化事务中心根据最终考核结果</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实行月度考核、月度支付机制。每月考核工作完成后，由西安市城市绿化事务中心根据最终考核结果</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实行月度考核、月度支付机制。每月考核工作完成后，由西安市城市绿化事务中心根据最终考核结果</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2.未按合同要求服务质量不能满足技术要求，采购方有权终止合同，并对供方违约行为进行追究，同时按《中华人民共和国政府采购法》的有关规定进行处罚。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供应商法定代表人直接参与磋商的，须出具法定代表人身份证明（附法定代表人身份证复印件）；法定代表人授权代表参与磋商的，须出具法定代表人授权委托书（附法定代表人及授权代表身份证复印件)；</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2024年度或2025年度的财务审计报告（至少包括资产负债表、利润表、现金流量表，成立时间至提交磋商响应文件截止时间不足一年的可提供成立后任意时段的资产负债表、利润表、现金流量表），或其基本存款账户开户银行出具的资信证明及基本存款账户开户许可证（或存款信息）；</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供应商须提供磋商截止日前六个月已缴纳的至少一个月的纳税证明或完税证明，依法免税的单位应提供相关证明材料；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供应商须提供磋商截止日前六个月已缴纳的至少一个月的社会保障资金缴存单据或社保机构开具的社会保险参保缴费情况证明，依法不需要缴纳社会保障资金的单位应提供相关证明材料；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供应商参加政府采购活动前三年内，在经营活动中没有重大违法记录的书面声明（提供承诺书）；</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供应商须提供具有履行合同所必需的设备和专业技术能力的承诺（提供承诺书）</w:t>
            </w:r>
          </w:p>
        </w:tc>
        <w:tc>
          <w:tcPr>
            <w:tcW w:type="dxa" w:w="1661"/>
          </w:tcPr>
          <w:p>
            <w:pPr>
              <w:pStyle w:val="null3"/>
            </w:pPr>
            <w:r>
              <w:rPr>
                <w:rFonts w:ascii="仿宋_GB2312" w:hAnsi="仿宋_GB2312" w:cs="仿宋_GB2312" w:eastAsia="仿宋_GB2312"/>
              </w:rPr>
              <w:t>供应商应提交的资格证明材料.docx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供应商应提交的资格证明材料.docx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供应商应提交的资格证明材料.docx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未超过预算和最高限价，无选择性报价。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磋商响应文件盖章</w:t>
            </w:r>
          </w:p>
        </w:tc>
        <w:tc>
          <w:tcPr>
            <w:tcW w:type="dxa" w:w="3322"/>
          </w:tcPr>
          <w:p>
            <w:pPr>
              <w:pStyle w:val="null3"/>
            </w:pPr>
            <w:r>
              <w:rPr>
                <w:rFonts w:ascii="仿宋_GB2312" w:hAnsi="仿宋_GB2312" w:cs="仿宋_GB2312" w:eastAsia="仿宋_GB2312"/>
              </w:rPr>
              <w:t>按照磋商文件格式要求盖章</w:t>
            </w:r>
          </w:p>
        </w:tc>
        <w:tc>
          <w:tcPr>
            <w:tcW w:type="dxa" w:w="1661"/>
          </w:tcPr>
          <w:p>
            <w:pPr>
              <w:pStyle w:val="null3"/>
            </w:pPr>
            <w:r>
              <w:rPr>
                <w:rFonts w:ascii="仿宋_GB2312" w:hAnsi="仿宋_GB2312" w:cs="仿宋_GB2312" w:eastAsia="仿宋_GB2312"/>
              </w:rPr>
              <w:t>响应文件封面 供应商应提交的资格证明材料.docx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符合磋商文件中的服务内容及服务要求和商务要求</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供应商针对本项目制定的施工方案与技术措施包含：①对项目总体概况表述②施工部署及措施③对项目主要及关键方案的理解④施工布置。 二、赋分标准：（1）方案内容科学合理、可实施性强、方案内容齐全、完全满足项目需求，得15分； （2）方案内容可行且科学合理可实施性较强、方案内容较齐全，满足项目需求，得12分； （3）方案内容较科学合理有一定的实施性、方案内容较齐全，基本满足项目需求得9分； （4）方案内容可实施性一般，方案内容基本合理，得6分； （5）方案内容欠缺、缺乏科学性合理性、可实施性较差，得3分。 未提供或其他得0分。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一、评审内容： 供应商针对本项目制定的工程进度计划与保证措施包含：①施工进度计划安排②进度保证措施。 二、赋分标准：（1）进度计划安排及措施内容科学合理、可实施性强、内容齐全、完全满足项目需求，得10分； （2）进度计划安排及措施内容可行且科学合理可实施性较强、方案内容较齐全，满足项目需求，得8分； （3）进度计划安排及措施内容较科学合理有一定的实施性、方案内容较齐全，基本满足项目需求得6分； （4）进度计划安排及措施内容可实施性一般，方案内容基本合理，得4分； （5）进度计划安排及措施内容欠缺、缺乏科学性合理性、可实施性较差，得2分。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一、评审内容： 供应商针对本项目制定的安全管理体系与措施包含：①安全管理机构职责分工②安全管理制度③安全保证措施。 二、赋分标准 ：（1）安全管理体系与措施内容科学合理、可实施性强、内容齐全、完全满足项目需求，得10分； （2）安全管理体系与措施内容可行且科学合理可实施性较强、方案内容较齐全，满足项目需求，得8分； （3）安全管理体系与措施内容较科学合理有一定的实施性、方案内容较齐全，基本满足项目需求得6分； （4）安全管理体系与措施内容可实施性一般，方案内容基本合理，得4分； （5）安全管理体系与措施内容欠缺、缺乏科学性合理性、可实施性较差，得2分。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一、评审内容： 供应商针对本项目制定资源配备计划包含：①主要材料供应计划②施工设备配备计划③资源调配计划。 二、赋分标准： （1）资源配备计划内容科学合理、可实施性强、内容齐全、完全满足项目需求，得10分； （2）资源配备计划内容可行且科学合理可实施性较强、方案内容较齐全，满足项目需求，得8分； （3）资源配备计划内容较科学合理有一定的实施性、方案内容较齐全，基本满足项目需求得6分； （4）资源配备计划内容可实施性一般，方案内容基本合理，得4分； （5）资源配备计划内容欠缺、缺乏科学性合理性、可实施性较差，得2分。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 ：供应商针对本项目制定的环境保护管理体系与措施包含：①环境保护管理目标②环境保护管理机构职责分工③环境保护管理制度④环境保护保证措施。 二、赋分标准：（1）环境保护管理体系与措施内容科学合理、可实施性强、内容齐全、完全满足项目需求，得10分； （2）环境保护管理体系与措施内容可行且科学合理可实施性较强、方案内容较齐全，满足项目需求，得8分； （3）环境保护管理体系与措施内容较科学合理有一定的实施性、方案内容较齐全，基本满足项目需求得6分； （4）环境保护管理体系与措施内容可实施性一般，方案内容基本合理，得4分； （5）环境保护管理体系与措施内容欠缺、缺乏科学性合理性、可实施性较差，得2分。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一、评审内容:供应商针对本项目配备专业、经验丰富的项目团队，内容包含： ①管理人员; ②团队人员； ③拟投入人员清单； ④岗位分工及责任制度； ⑤人员工作经验； ⑥人员管理制度等内容。 二、赋分标准:（1）拟投入人员配备合理、人员数量充足、职责明确、分工清晰、工作经历丰富、能够完全满足采购所需的得，得10分； （2）拟投入人员配备较为合理、人员数量较充足、职责、分工较清晰、工作经历较丰富、能满足采购所需的，得8分 ； （3）拟投入人员配备较为合理、人员数量基本充足、职责、分工基本清晰、工作经历、基本能满足基本采购所需的，得6分； （4）拟投入人员配备较为合理、人员数量一般、职责、分工一般、缺少部分工作经历、勉强能满足基本采购所需的，得4分； （5）拟派人员配备不合理且有欠缺、人员数量无保证、职责、分工不明确、工作经历较少、不能够满足采购所需的，得2分。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一、评审内容：供应商对本项目提供的服务承诺包含：①施工过程中的相关承诺②投入材料质量承诺③质量保修期服务承诺④服务响应时间⑤服务响应措施。 二、赋分标准：（1）服务承诺内容科学合理、可实施性强、内容齐全、完全满足项目需求，得10分； （2）服务承诺内容可行且科学合理可实施性较强、内容较齐全，基本满足项目需求，得8分； （3）承诺内容较科学合理有一定的实施性、内容较齐全，基本满足项目需求得6分； （4）承诺内容可行性一般，内容基本合理，得4分； （5）承诺内容欠缺、缺乏科学性合理性、可实施性较差，得2分。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 2023年 1月至今类似业绩，每提供一个计 2.5 分， 本项最多得10 分。未提供不得分。 二、评审标准：业绩证明材料（以磋商响应文件中提供的合同复印件或中标（成交）通知书为准，合同关键页内容须包含合同名称、签订双方名称、签订时间、主要服务内容、双方盖章页等）。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 磋商报价得分=（磋商基准价/最后磋商报价）×价格权值（15%）×100，各供应商磋商报价不得超过该项目预算，否则视为无效投标。</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详见附件：供应商应提交的资格证明材料.docx</w:t>
      </w:r>
    </w:p>
    <w:p>
      <w:pPr>
        <w:pStyle w:val="null3"/>
        <w:ind w:firstLine="960"/>
      </w:pPr>
      <w:r>
        <w:rPr>
          <w:rFonts w:ascii="仿宋_GB2312" w:hAnsi="仿宋_GB2312" w:cs="仿宋_GB2312" w:eastAsia="仿宋_GB2312"/>
        </w:rPr>
        <w:t>详见附件：磋商响应方案.docx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