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版本号：ZCPC-2026-01920260416001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西安秦岭保护公众号运营维护宣传项目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ZCPC-2026-019</w:t>
      </w:r>
      <w:r>
        <w:br/>
      </w:r>
      <w:r>
        <w:br/>
      </w:r>
      <w:r>
        <w:br/>
      </w:r>
    </w:p>
    <w:p>
      <w:pPr>
        <w:pStyle w:val="null3"/>
        <w:jc w:val="center"/>
        <w:outlineLvl w:val="2"/>
      </w:pPr>
      <w:r>
        <w:rPr>
          <w:rFonts w:ascii="仿宋_GB2312" w:hAnsi="仿宋_GB2312" w:cs="仿宋_GB2312" w:eastAsia="仿宋_GB2312"/>
          <w:sz w:val="28"/>
          <w:b/>
        </w:rPr>
        <w:t>西安市秦岭生态环境保护管理局（本级）</w:t>
      </w:r>
    </w:p>
    <w:p>
      <w:pPr>
        <w:pStyle w:val="null3"/>
        <w:jc w:val="center"/>
        <w:outlineLvl w:val="2"/>
      </w:pPr>
      <w:r>
        <w:rPr>
          <w:rFonts w:ascii="仿宋_GB2312" w:hAnsi="仿宋_GB2312" w:cs="仿宋_GB2312" w:eastAsia="仿宋_GB2312"/>
          <w:sz w:val="28"/>
          <w:b/>
        </w:rPr>
        <w:t>陕西众灿品诚项目管理有限公司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陕西众灿品诚项目管理有限公司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西安市秦岭生态环境保护管理局（本级）</w:t>
      </w:r>
      <w:r>
        <w:rPr>
          <w:rFonts w:ascii="仿宋_GB2312" w:hAnsi="仿宋_GB2312" w:cs="仿宋_GB2312" w:eastAsia="仿宋_GB2312"/>
        </w:rPr>
        <w:t>委托，拟对</w:t>
      </w:r>
      <w:r>
        <w:rPr>
          <w:rFonts w:ascii="仿宋_GB2312" w:hAnsi="仿宋_GB2312" w:cs="仿宋_GB2312" w:eastAsia="仿宋_GB2312"/>
        </w:rPr>
        <w:t>西安秦岭保护公众号运营维护宣传项目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ZCPC-2026-019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西安秦岭保护公众号运营维护宣传项目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西安秦岭保护公众号运营维护宣传项目，1项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1、法人授权委托书：法定代表人参与投标时，提供法定代表人身份证明及本人身份证复印件加盖公章；授权代表参与磋商时，提供企业法人授权委托书和被授权人身份证复印件加盖公章；</w:t>
      </w:r>
    </w:p>
    <w:p>
      <w:pPr>
        <w:pStyle w:val="null3"/>
      </w:pPr>
      <w:r>
        <w:rPr>
          <w:rFonts w:ascii="仿宋_GB2312" w:hAnsi="仿宋_GB2312" w:cs="仿宋_GB2312" w:eastAsia="仿宋_GB2312"/>
        </w:rPr>
        <w:t>2、信用证明：不得为“信用中国”网站(http://www.creditchina.gov.cn)列入“失信被执行人（页面跳转至“中国执行信息公开”http://zxgk.court.gov.cn/shixin/）、重大税收违法失信主体名单”的供应商；不得为中国政府采购网(http://www.ccgp.gov.cn)“政府采购严重违法失信行为记录名单”中的供应商。（此项以资格审查小组在投标截止日当天查询记录为准；如网站无供应商信息的，供应商须提供相关证明资料或书面声明）；</w:t>
      </w:r>
    </w:p>
    <w:p>
      <w:pPr>
        <w:pStyle w:val="null3"/>
      </w:pPr>
      <w:r>
        <w:rPr>
          <w:rFonts w:ascii="仿宋_GB2312" w:hAnsi="仿宋_GB2312" w:cs="仿宋_GB2312" w:eastAsia="仿宋_GB2312"/>
        </w:rPr>
        <w:t>3、控股、管理关系：单位负责人为同一人或者存在控股、管理关系的不同供应商，不得同时参加本项目采购项目；</w:t>
      </w:r>
    </w:p>
    <w:p>
      <w:pPr>
        <w:pStyle w:val="null3"/>
      </w:pPr>
      <w:r>
        <w:rPr>
          <w:rFonts w:ascii="仿宋_GB2312" w:hAnsi="仿宋_GB2312" w:cs="仿宋_GB2312" w:eastAsia="仿宋_GB2312"/>
        </w:rPr>
        <w:t>4、许可证：供应商须具备互联网新闻信息服务许可证；</w:t>
      </w:r>
    </w:p>
    <w:p>
      <w:pPr>
        <w:pStyle w:val="null3"/>
      </w:pPr>
      <w:r>
        <w:rPr>
          <w:rFonts w:ascii="仿宋_GB2312" w:hAnsi="仿宋_GB2312" w:cs="仿宋_GB2312" w:eastAsia="仿宋_GB2312"/>
        </w:rPr>
        <w:t>5、联合体投标：本项目不接受联合体投标。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西安市秦岭生态环境保护管理局（本级）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长安区关中环线S107与子午大道十字向西850米路北</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叶老师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89801352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陕西众灿品诚项目管理有限公司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陕西省西安市雁塔区电子城街道万象国际中心2号楼1单元801室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李如煊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13259838105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颁发的《招标代理服务收费管理暂行办法》（计价格[2002]1980号）和国家发展和改革委员会办公厅颁发的《关于招标代理服务收费有关问题的通知》（发改办价格[2003]857号）的有关规定按标准收取。本项目代理服务费按服务计取。招标代理服务费以转账或现金形式缴纳至以下账户： 名 称：陕西众灿品诚项目管理有限公司 帐 号 ：129914150610901 开户行：招商银行西安分行钟楼支行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西安市秦岭生态环境保护管理局（本级）</w:t>
      </w:r>
      <w:r>
        <w:rPr>
          <w:rFonts w:ascii="仿宋_GB2312" w:hAnsi="仿宋_GB2312" w:cs="仿宋_GB2312" w:eastAsia="仿宋_GB2312"/>
        </w:rPr>
        <w:t>和</w:t>
      </w:r>
      <w:r>
        <w:rPr>
          <w:rFonts w:ascii="仿宋_GB2312" w:hAnsi="仿宋_GB2312" w:cs="仿宋_GB2312" w:eastAsia="仿宋_GB2312"/>
        </w:rPr>
        <w:t>陕西众灿品诚项目管理有限公司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西安市秦岭生态环境保护管理局（本级）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陕西众灿品诚项目管理有限公司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西安市秦岭生态环境保护管理局（本级）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陕西众灿品诚项目管理有限公司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联系人：李如煊</w:t>
      </w:r>
    </w:p>
    <w:p>
      <w:pPr>
        <w:pStyle w:val="null3"/>
      </w:pPr>
      <w:r>
        <w:rPr>
          <w:rFonts w:ascii="仿宋_GB2312" w:hAnsi="仿宋_GB2312" w:cs="仿宋_GB2312" w:eastAsia="仿宋_GB2312"/>
        </w:rPr>
        <w:t>联系电话：13259838105</w:t>
      </w:r>
    </w:p>
    <w:p>
      <w:pPr>
        <w:pStyle w:val="null3"/>
      </w:pPr>
      <w:r>
        <w:rPr>
          <w:rFonts w:ascii="仿宋_GB2312" w:hAnsi="仿宋_GB2312" w:cs="仿宋_GB2312" w:eastAsia="仿宋_GB2312"/>
        </w:rPr>
        <w:t>地址：陕西省西安市雁塔区电子城街道万象国际中心2号楼1单元801室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西安秦岭保护公众号运营维护宣传项目，1项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西安秦岭保护公众号运营维护宣传项目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标的名称：西安秦岭保护公众号运营维护宣传项目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sz w:val="21"/>
              </w:rPr>
              <w:t>为深入贯彻习主席生态文明思想，以美丽中国建设全面推进人与自然和谐共生的现代化，站在舆论引导主阵地，牢牢掌握主动权，实现宣传内容的高质量输出与深层次挖掘，拟策划实施</w:t>
            </w:r>
            <w:r>
              <w:rPr>
                <w:rFonts w:ascii="仿宋_GB2312" w:hAnsi="仿宋_GB2312" w:cs="仿宋_GB2312" w:eastAsia="仿宋_GB2312"/>
                <w:sz w:val="21"/>
              </w:rPr>
              <w:t>“西安秦岭保护”新媒体深度推广宣传项目。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以</w:t>
            </w:r>
            <w:r>
              <w:rPr>
                <w:rFonts w:ascii="仿宋_GB2312" w:hAnsi="仿宋_GB2312" w:cs="仿宋_GB2312" w:eastAsia="仿宋_GB2312"/>
              </w:rPr>
              <w:t>“西安秦岭保护”新媒体平台为核心，紧扣“绿水青山就是金山银山”理念，以“敬畏秦岭、守护秦岭、滋养秦岭”理念为基石，全年推出“敬畏秦岭”秦岭保护慢直播栏目4场、“守护秦岭”系列图文栏目不少于60期、“滋养秦岭”系列视频栏目30期。</w:t>
            </w:r>
            <w:r>
              <w:rPr>
                <w:rFonts w:ascii="仿宋_GB2312" w:hAnsi="仿宋_GB2312" w:cs="仿宋_GB2312" w:eastAsia="仿宋_GB2312"/>
              </w:rPr>
              <w:t>以今日</w:t>
            </w:r>
            <w:r>
              <w:rPr>
                <w:rFonts w:ascii="仿宋_GB2312" w:hAnsi="仿宋_GB2312" w:cs="仿宋_GB2312" w:eastAsia="仿宋_GB2312"/>
              </w:rPr>
              <w:t>头条平台为核心，传递最新林草资讯、宣传生态环境保护工作，同时以视频的形式提高信息传递密度与效率。旨在通过优质内容的输出，有效提升西安秦岭生态环境保护的公众普及率和响应率。</w:t>
            </w:r>
          </w:p>
          <w:p>
            <w:pPr>
              <w:pStyle w:val="null3"/>
            </w:pPr>
            <w:r>
              <w:rPr>
                <w:rFonts w:ascii="仿宋_GB2312" w:hAnsi="仿宋_GB2312" w:cs="仿宋_GB2312" w:eastAsia="仿宋_GB2312"/>
              </w:rPr>
              <w:t>（一）项目规划和主题</w:t>
            </w:r>
          </w:p>
          <w:p>
            <w:pPr>
              <w:pStyle w:val="null3"/>
            </w:pPr>
            <w:r>
              <w:rPr>
                <w:rFonts w:ascii="仿宋_GB2312" w:hAnsi="仿宋_GB2312" w:cs="仿宋_GB2312" w:eastAsia="仿宋_GB2312"/>
              </w:rPr>
              <w:t>1.推出“敬畏秦岭”秦岭保护慢直播：嫁接秦岭西安段域内各秦岭监测平台或景区景观摄像头，或进行专人多角度直播，通过真实的生态呈现培育全民的环保意识。专业团队定点拍摄延时摄影，选取8-10个展示秦岭风光的优质点位，根据季节风景时节拍摄，展示秦岭美景。慢直播全年进行4场。延时摄影视频全年不少于8个点位。</w:t>
            </w:r>
          </w:p>
          <w:p>
            <w:pPr>
              <w:pStyle w:val="null3"/>
            </w:pPr>
            <w:r>
              <w:rPr>
                <w:rFonts w:ascii="仿宋_GB2312" w:hAnsi="仿宋_GB2312" w:cs="仿宋_GB2312" w:eastAsia="仿宋_GB2312"/>
              </w:rPr>
              <w:t>2.推出“守护秦岭”系列图文栏目：聚焦于“人”，以知识科普、深度访谈等方式，呈现秦岭生态、普及秦岭知识、展示秦岭人文，通过可视化“人”在秦岭保护中贡献的力量，传递“我的秦岭，我守护”的理念。全年共发布内容不少于60期。</w:t>
            </w:r>
          </w:p>
          <w:p>
            <w:pPr>
              <w:pStyle w:val="null3"/>
            </w:pPr>
            <w:r>
              <w:rPr>
                <w:rFonts w:ascii="仿宋_GB2312" w:hAnsi="仿宋_GB2312" w:cs="仿宋_GB2312" w:eastAsia="仿宋_GB2312"/>
                <w:sz w:val="21"/>
              </w:rPr>
              <w:t>3.推出“滋养秦岭”系列视频栏目：通过视频的直观形式，聚焦秦岭保护的具体工作、开展对秦岭自然及人文知识的趣味科普、征集汇总观众拍摄的秦岭美景、邀请秦岭保护工作的实践者们分享心得，展现守护力量、激发守护欲望，唤醒观众对秦岭的保护热情。全年共发布视频30期。</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w:t>
            </w:r>
            <w:r>
              <w:rPr>
                <w:rFonts w:ascii="仿宋_GB2312" w:hAnsi="仿宋_GB2312" w:cs="仿宋_GB2312" w:eastAsia="仿宋_GB2312"/>
              </w:rPr>
              <w:t>商务</w:t>
            </w:r>
            <w:r>
              <w:rPr>
                <w:rFonts w:ascii="仿宋_GB2312" w:hAnsi="仿宋_GB2312" w:cs="仿宋_GB2312" w:eastAsia="仿宋_GB2312"/>
              </w:rPr>
              <w:t>要求</w:t>
            </w:r>
          </w:p>
          <w:p>
            <w:pPr>
              <w:pStyle w:val="null3"/>
            </w:pPr>
            <w:r>
              <w:rPr>
                <w:rFonts w:ascii="仿宋_GB2312" w:hAnsi="仿宋_GB2312" w:cs="仿宋_GB2312" w:eastAsia="仿宋_GB2312"/>
              </w:rPr>
              <w:t>（一）实施进度安排：合同签订之日起至项目执行结束。</w:t>
            </w:r>
          </w:p>
          <w:p>
            <w:pPr>
              <w:pStyle w:val="null3"/>
            </w:pPr>
            <w:r>
              <w:rPr>
                <w:rFonts w:ascii="仿宋_GB2312" w:hAnsi="仿宋_GB2312" w:cs="仿宋_GB2312" w:eastAsia="仿宋_GB2312"/>
              </w:rPr>
              <w:t>（二）</w:t>
            </w:r>
            <w:r>
              <w:rPr>
                <w:rFonts w:ascii="仿宋_GB2312" w:hAnsi="仿宋_GB2312" w:cs="仿宋_GB2312" w:eastAsia="仿宋_GB2312"/>
              </w:rPr>
              <w:t>付款计划：服务费用分贰次支付。合同签订且供应商开具增值税发票后的</w:t>
            </w:r>
            <w:r>
              <w:rPr>
                <w:rFonts w:ascii="仿宋_GB2312" w:hAnsi="仿宋_GB2312" w:cs="仿宋_GB2312" w:eastAsia="仿宋_GB2312"/>
              </w:rPr>
              <w:t>30日内，以银行转账方式向其支付合同总费用70%。项目结束后，供应商出具结项报告，验收完成后30日内，付清30%尾款。</w:t>
            </w:r>
          </w:p>
          <w:p>
            <w:pPr>
              <w:pStyle w:val="null3"/>
            </w:pPr>
            <w:r>
              <w:rPr>
                <w:rFonts w:ascii="仿宋_GB2312" w:hAnsi="仿宋_GB2312" w:cs="仿宋_GB2312" w:eastAsia="仿宋_GB2312"/>
                <w:sz w:val="21"/>
              </w:rPr>
              <w:t>（三）验收</w:t>
            </w:r>
            <w:r>
              <w:rPr>
                <w:rFonts w:ascii="仿宋_GB2312" w:hAnsi="仿宋_GB2312" w:cs="仿宋_GB2312" w:eastAsia="仿宋_GB2312"/>
                <w:sz w:val="21"/>
              </w:rPr>
              <w:t>条件：完成合同约定的各类事项。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符合本项目采购需求的专业人员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合同签订之日起一年内执行完毕。</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合同签订且供应商开具增值税发票后的30日内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项目结束后，供应商出具结项报告，验收完成后30日内</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要在线提交所有通过电子化交易平台实施的政府采购项目的响应文件，成交供应商在成交结果公示后线下递交纸质响应文件正本壹份、副本贰份，递交文件地点：陕西省西安市雁塔区电子城街道万象国际中心2号楼1单元801室。2、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业绩.docx 服务内容及服务邀请应答表 中小企业声明函 商务应答表 报价表 资格证明文件.docx 响应文件封面 分项报价表.docx 详细评审.docx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财务会计报告</w:t>
            </w:r>
          </w:p>
        </w:tc>
        <w:tc>
          <w:tcPr>
            <w:tcW w:type="dxa" w:w="3322"/>
          </w:tcPr>
          <w:p>
            <w:pPr>
              <w:pStyle w:val="null3"/>
            </w:pPr>
            <w:r>
              <w:rPr>
                <w:rFonts w:ascii="仿宋_GB2312" w:hAnsi="仿宋_GB2312" w:cs="仿宋_GB2312" w:eastAsia="仿宋_GB2312"/>
              </w:rPr>
              <w:t>供应商提供2024年度经审计的财务会计报告（包括审计报告、资产负债表、利润表、现金流量表、所有者权益变动表及其附注，成立时间至提交投标文件截止时间不足一年的可提供成立后任意时段的资产负债表），事业法人提供部门决算报告；或其磋商前三个月内基本存款账户开户银行出具的资信证明；或信用担保机构出具的投标担保函（以上三种形式的资料提供任何一种即可）。 注：财会〔(2023〕15号文《财政部国务院国资委金融监管总局关于加强审计报告查验工作的通知》会计师事务所应当主动向被审计单位提供附验证码的审计报告，即2023年及以后的审计报告需附验证码。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提供2025年4月1日至今任意一个月的社会保障资金缴存单据或社保机构开具的社会保险参保缴费情况证明，依法不需要缴纳社会保障资金的提供相关文件证明；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提供2025年4月1日至今任意一个月的纳税证明或完税证明，纳税证明或完税证明上应有代收机构或税务机关的公章，依法免税的应提供相关文件证明；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参加政府采购项目前 3 年内经营项目中没有重大违法记录声明；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落实政府采购促进中小企业发展的相关政策</w:t>
            </w:r>
          </w:p>
        </w:tc>
        <w:tc>
          <w:tcPr>
            <w:tcW w:type="dxa" w:w="3322"/>
          </w:tcPr>
          <w:p>
            <w:pPr>
              <w:pStyle w:val="null3"/>
            </w:pPr>
            <w:r>
              <w:rPr>
                <w:rFonts w:ascii="仿宋_GB2312" w:hAnsi="仿宋_GB2312" w:cs="仿宋_GB2312" w:eastAsia="仿宋_GB2312"/>
              </w:rPr>
              <w:t>本项目为非专门面向中小企业采购项目。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法定代表人参与投标时，提供法定代表人身份证明及本人身份证复印件加盖公章；授权代表参与磋商时，提供企业法人授权委托书和被授权人身份证复印件加盖公章；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http://zxgk.court.gov.cn/shixin/）、重大税收违法失信主体名单”的供应商；不得为中国政府采购网(http://www.ccgp.gov.cn)“政府采购严重违法失信行为记录名单”中的供应商。（此项以资格审查小组在投标截止日当天查询记录为准；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单位负责人为同一人或者存在控股、管理关系的不同供应商，不得同时参加本项目采购项目；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许可证</w:t>
            </w:r>
          </w:p>
        </w:tc>
        <w:tc>
          <w:tcPr>
            <w:tcW w:type="dxa" w:w="3322"/>
          </w:tcPr>
          <w:p>
            <w:pPr>
              <w:pStyle w:val="null3"/>
            </w:pPr>
            <w:r>
              <w:rPr>
                <w:rFonts w:ascii="仿宋_GB2312" w:hAnsi="仿宋_GB2312" w:cs="仿宋_GB2312" w:eastAsia="仿宋_GB2312"/>
              </w:rPr>
              <w:t>供应商须具备互联网新闻信息服务许可证；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3.根据《财政部关于推动解决政府采购异常低价问题的通知》(财库(2026)2号)相关规定，政府采购评审中出现下列情形之一的，评审委员会应当启动异常低价投标(响应)审查程序：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响应文件有效期符合竞争性磋商文件要求。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响应文件签署、盖章均按竞争性磋商文件要求签字、盖章。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报价唯一，且没有高于采购预算或竞争性磋商文件规定的最高限价。</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策划及实施方案</w:t>
            </w:r>
          </w:p>
        </w:tc>
        <w:tc>
          <w:tcPr>
            <w:tcW w:type="dxa" w:w="2492"/>
          </w:tcPr>
          <w:p>
            <w:pPr>
              <w:pStyle w:val="null3"/>
            </w:pPr>
            <w:r>
              <w:rPr>
                <w:rFonts w:ascii="仿宋_GB2312" w:hAnsi="仿宋_GB2312" w:cs="仿宋_GB2312" w:eastAsia="仿宋_GB2312"/>
              </w:rPr>
              <w:t>一、评审内容 针对本项目提供具体可行的策划及实施方案，根据以下三项工作内容进行详细阐述：①“敬畏秦岭”秦岭保护慢直播；②“守护秦岭”系列图文栏目；③“滋养秦岭”系列视频栏目。 二、评审标准 1、完善性：实施方案必须全面，对评审内容中的各项要求有详细阐述； 2、可实施性：切合本项目实际情况，提出步骤清晰、合理的信息采集分析服务实施方案； 3、针对性：实施方案能够紧扣项目实际情况，内容科学合理。 上述3项评审内容全部满足评审标准得30分，每有一个评审内容缺项扣10分，每有一项评审内容存在缺陷，扣0.01-9.99分，扣完为止。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针对本项目提供具体可行的实施方案，包括但不限于：①项目进度计划及保证措施；②成果质量及服务保证措施。 二、评审标准 1、完善性：服务质量保证实施方案必须全面，对评审内容中的各项要求有详细阐述； 2、可实施性：切合本项目实际情况，提出步骤清晰、合理的信息采集分析服务实施方案； 3、针对性：服务质量保证方案能够紧扣项目实际情况，内容科学合理。 上述2项评审内容全部满足评审标准得16分，每有一个评审内容缺项扣8分，每有一项评审内容存在缺陷，扣0.01-7.99分，扣完为止。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投入的材料设备</w:t>
            </w:r>
          </w:p>
        </w:tc>
        <w:tc>
          <w:tcPr>
            <w:tcW w:type="dxa" w:w="2492"/>
          </w:tcPr>
          <w:p>
            <w:pPr>
              <w:pStyle w:val="null3"/>
            </w:pPr>
            <w:r>
              <w:rPr>
                <w:rFonts w:ascii="仿宋_GB2312" w:hAnsi="仿宋_GB2312" w:cs="仿宋_GB2312" w:eastAsia="仿宋_GB2312"/>
              </w:rPr>
              <w:t>一、评审内容 拟投入与本项目相关的关键设施设备、宣传用品、专业摄影等设备的配备情况。 二、评审标准 1、符合度：是否对整体需求进行充分响应，不得提供与本评审项无关内容； 2、完整性：需结合整体需求，进行全方面的描述，不得缺项； 3、合理性：需依据本项目阐述，具有可执行性。 上述评审内容全部满足评审标准得8分，存在缺陷，扣0-7.99分，扣完为止。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一、评审内容 ①项目负责人及项目组人员配置齐全、经验丰富：应具备项目的策划与执行、拍摄现场组织统筹协调、宣传推广评估等从业经验；②项目组织机构和管理机构能满足本项目工作需要、有能力按时完成项目，岗位分工与责任划分明确。 二、评审标准 1、符合度：是否对整体需求进行充分响应，不得提供与本评审项无关内容; 2、完整性：需结合整体需求，进行全方面的描述，不得缺项， 3、合理性：需依据本项目阐述，具有可执行性。 上述2项评审内容全部满足评审标准得16分，每有一个评审内容缺项扣8分，每有一项评审内容存在缺陷，扣0.01-7.99分，扣完为止。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供应商提供针对本项目的应急预案，内容包括但不限于：①应急预案计划及措施；②应急预案响应时间。 二、评审标准： 1、符合度：是否对整体需求进行充分响应，不得提供与本评审项无关内容； 2、完整性：需结合整体需求，进行全方面的描述，不得缺项； 3、合理性：需依据本项目阐述，具有可执行性。 上述2项评审内容全部满足评审标准得10分，每有一个评审内容缺项扣5分，每有一项评审内容存在缺陷，扣0.01-4.99分，扣完为止。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供应商提供2023年4月至今类似项目业绩，每个有效业绩得2分，满分10分；（类似业绩证明材料以合同复印件为准，合同复印件应加盖公章）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详见附件：公众号项目合同模板（定稿）.docx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