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版本号：ZX2026-03-4920260416001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国家综合货运枢纽补链强链2025年度绩效评价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ZX2026-03-49</w:t>
      </w:r>
      <w:r>
        <w:br/>
      </w:r>
      <w:r>
        <w:br/>
      </w:r>
      <w:r>
        <w:br/>
      </w:r>
    </w:p>
    <w:p>
      <w:pPr>
        <w:pStyle w:val="null3"/>
        <w:jc w:val="center"/>
        <w:outlineLvl w:val="2"/>
      </w:pPr>
      <w:r>
        <w:rPr>
          <w:rFonts w:ascii="仿宋_GB2312" w:hAnsi="仿宋_GB2312" w:cs="仿宋_GB2312" w:eastAsia="仿宋_GB2312"/>
          <w:sz w:val="28"/>
          <w:b/>
        </w:rPr>
        <w:t>西安市交通发展研究中心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西安市交通发展研究中心</w:t>
      </w:r>
      <w:r>
        <w:rPr>
          <w:rFonts w:ascii="仿宋_GB2312" w:hAnsi="仿宋_GB2312" w:cs="仿宋_GB2312" w:eastAsia="仿宋_GB2312"/>
        </w:rPr>
        <w:t>委托，拟对</w:t>
      </w:r>
      <w:r>
        <w:rPr>
          <w:rFonts w:ascii="仿宋_GB2312" w:hAnsi="仿宋_GB2312" w:cs="仿宋_GB2312" w:eastAsia="仿宋_GB2312"/>
        </w:rPr>
        <w:t>国家综合货运枢纽补链强链2025年度绩效评价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国家综合货运枢纽补链强链2025年度绩效评价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国家综合货运枢纽补链强链2025年度绩效评价，1项，具体内容详见磋商文件第三章。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西安市交通发展研究中心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西安市莲湖区劳动南路171号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029-61326724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西安市交通发展研究中心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西安市交通发展研究中心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西安市交通发展研究中心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联系人：孙童欣 胡怡洁</w:t>
      </w:r>
    </w:p>
    <w:p>
      <w:pPr>
        <w:pStyle w:val="null3"/>
      </w:pPr>
      <w:r>
        <w:rPr>
          <w:rFonts w:ascii="仿宋_GB2312" w:hAnsi="仿宋_GB2312" w:cs="仿宋_GB2312" w:eastAsia="仿宋_GB2312"/>
        </w:rPr>
        <w:t>联系电话：029-88110800转8033（1053910307@qq.com）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国家综合货运枢纽补链强链2025年度绩效评价，1项，具体内容详见磋商文件。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国家综合货运枢纽补链强链2025年度绩效评价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标的名称：国家综合货运枢纽补链强链2025年度绩效评价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一、项目内容</w:t>
            </w:r>
          </w:p>
          <w:p>
            <w:pPr>
              <w:pStyle w:val="null3"/>
              <w:ind w:firstLine="480"/>
              <w:jc w:val="left"/>
            </w:pPr>
            <w:r>
              <w:rPr>
                <w:rFonts w:ascii="仿宋_GB2312" w:hAnsi="仿宋_GB2312" w:cs="仿宋_GB2312" w:eastAsia="仿宋_GB2312"/>
                <w:sz w:val="24"/>
              </w:rPr>
              <w:t>根据《财政部</w:t>
            </w:r>
            <w:r>
              <w:rPr>
                <w:rFonts w:ascii="仿宋_GB2312" w:hAnsi="仿宋_GB2312" w:cs="仿宋_GB2312" w:eastAsia="仿宋_GB2312"/>
                <w:sz w:val="24"/>
              </w:rPr>
              <w:t>交通运输部关于支持国家综合货运枢纽补链强链的通知》（财建〔</w:t>
            </w:r>
            <w:r>
              <w:rPr>
                <w:rFonts w:ascii="仿宋_GB2312" w:hAnsi="仿宋_GB2312" w:cs="仿宋_GB2312" w:eastAsia="仿宋_GB2312"/>
                <w:sz w:val="24"/>
              </w:rPr>
              <w:t>2022〕219号）、《交通运输部办公厅 财政部办公厅关于做好国家综合货运枢纽补链强链工作的通知》（交办规划〔2022〕34号）等相关文件，并结合西安、银川联合实施补链强链实际情况，编制《西安、银川国家综合货运枢纽补链强链实施方案验收绩效评价工作报告》及附件证明材料。</w:t>
            </w:r>
          </w:p>
          <w:p>
            <w:pPr>
              <w:pStyle w:val="null3"/>
              <w:ind w:firstLine="480"/>
              <w:jc w:val="left"/>
            </w:pPr>
            <w:r>
              <w:rPr>
                <w:rFonts w:ascii="仿宋_GB2312" w:hAnsi="仿宋_GB2312" w:cs="仿宋_GB2312" w:eastAsia="仿宋_GB2312"/>
                <w:sz w:val="24"/>
              </w:rPr>
              <w:t>★（一）绩效完成概况。对实施期绩效目标、重点任务、重点项目完成情况进行简述。形成重点任务执行情况汇总表和重点项目落实情况汇总表。</w:t>
            </w:r>
          </w:p>
          <w:p>
            <w:pPr>
              <w:pStyle w:val="null3"/>
              <w:ind w:firstLine="480"/>
              <w:jc w:val="left"/>
            </w:pPr>
            <w:r>
              <w:rPr>
                <w:rFonts w:ascii="仿宋_GB2312" w:hAnsi="仿宋_GB2312" w:cs="仿宋_GB2312" w:eastAsia="仿宋_GB2312"/>
                <w:sz w:val="24"/>
              </w:rPr>
              <w:t>★（二）总体推进情况。对各项目实施管理、实施产出、实施效益完成情况进行简述，具体包括在组织保障、资金管理、提升运输能力、优化运输服务、建立完善运营机制、提升综合效益和综合效率等方面开展的工作、出台的政策文件等。</w:t>
            </w:r>
          </w:p>
          <w:p>
            <w:pPr>
              <w:pStyle w:val="null3"/>
              <w:ind w:firstLine="480"/>
              <w:jc w:val="left"/>
            </w:pPr>
            <w:r>
              <w:rPr>
                <w:rFonts w:ascii="仿宋_GB2312" w:hAnsi="仿宋_GB2312" w:cs="仿宋_GB2312" w:eastAsia="仿宋_GB2312"/>
                <w:sz w:val="24"/>
              </w:rPr>
              <w:t>★（三）工作成效和问题。结合实际从服务国家重大战略实施、稳定和扩大有效投资、提升综合交通运输网络效率、优化运输结构、降低物流成本、服务产业链供应链稳定、促进绿色低碳发展、壮大枢纽经济、提升安全智慧水平等角度梳理工作成效，并找出存在问题。</w:t>
            </w:r>
          </w:p>
          <w:p>
            <w:pPr>
              <w:pStyle w:val="null3"/>
              <w:ind w:firstLine="480"/>
              <w:jc w:val="left"/>
            </w:pPr>
            <w:r>
              <w:rPr>
                <w:rFonts w:ascii="仿宋_GB2312" w:hAnsi="仿宋_GB2312" w:cs="仿宋_GB2312" w:eastAsia="仿宋_GB2312"/>
                <w:sz w:val="24"/>
              </w:rPr>
              <w:t>（四）改进措施和建议。结合存在的突出问题，提出有效的改进措施。</w:t>
            </w:r>
          </w:p>
          <w:p>
            <w:pPr>
              <w:pStyle w:val="null3"/>
              <w:ind w:firstLine="480"/>
              <w:jc w:val="left"/>
            </w:pPr>
            <w:r>
              <w:rPr>
                <w:rFonts w:ascii="仿宋_GB2312" w:hAnsi="仿宋_GB2312" w:cs="仿宋_GB2312" w:eastAsia="仿宋_GB2312"/>
                <w:sz w:val="24"/>
              </w:rPr>
              <w:t>（五）附件证明材料。对照评价表相关要求，整理附件证明材料，形成证明材料索引，并给出自评价得分。</w:t>
            </w:r>
          </w:p>
          <w:p>
            <w:pPr>
              <w:pStyle w:val="null3"/>
              <w:ind w:firstLine="480"/>
              <w:jc w:val="left"/>
            </w:pPr>
            <w:r>
              <w:rPr>
                <w:rFonts w:ascii="仿宋_GB2312" w:hAnsi="仿宋_GB2312" w:cs="仿宋_GB2312" w:eastAsia="仿宋_GB2312"/>
                <w:sz w:val="24"/>
              </w:rPr>
              <w:t>二、完成时间及成果</w:t>
            </w:r>
          </w:p>
          <w:p>
            <w:pPr>
              <w:pStyle w:val="null3"/>
              <w:ind w:firstLine="480"/>
              <w:jc w:val="left"/>
            </w:pPr>
            <w:r>
              <w:rPr>
                <w:rFonts w:ascii="仿宋_GB2312" w:hAnsi="仿宋_GB2312" w:cs="仿宋_GB2312" w:eastAsia="仿宋_GB2312"/>
                <w:sz w:val="24"/>
              </w:rPr>
              <w:t>2026年5月底前，完成资料收集及调研工作，主要包括涉及绩效目标、重点任务、重点项目的部门（区县）及企业座谈与资料收集等工作。完成工作报告编制，主要包括工作报告正文编制、附件材料整理汇总等工作。</w:t>
            </w:r>
          </w:p>
          <w:p>
            <w:pPr>
              <w:pStyle w:val="null3"/>
              <w:ind w:firstLine="480"/>
              <w:jc w:val="left"/>
            </w:pPr>
            <w:r>
              <w:rPr>
                <w:rFonts w:ascii="仿宋_GB2312" w:hAnsi="仿宋_GB2312" w:cs="仿宋_GB2312" w:eastAsia="仿宋_GB2312"/>
                <w:sz w:val="24"/>
              </w:rPr>
              <w:t>2026年6月底前，完成省级评价及上报，主要包括省级交通及财政部门组织的工作报告评审、评审后工作报告修改、配合采购方上报等工作。</w:t>
            </w:r>
          </w:p>
          <w:p>
            <w:pPr>
              <w:pStyle w:val="null3"/>
              <w:ind w:firstLine="480"/>
              <w:jc w:val="left"/>
            </w:pPr>
            <w:r>
              <w:rPr>
                <w:rFonts w:ascii="仿宋_GB2312" w:hAnsi="仿宋_GB2312" w:cs="仿宋_GB2312" w:eastAsia="仿宋_GB2312"/>
                <w:sz w:val="24"/>
              </w:rPr>
              <w:t>2026年11月底前，完成部级评价，主要包括配合采购方准备交通运输部、财政部所需的技术资料等</w:t>
            </w:r>
            <w:r>
              <w:rPr>
                <w:rFonts w:ascii="仿宋_GB2312" w:hAnsi="仿宋_GB2312" w:cs="仿宋_GB2312" w:eastAsia="仿宋_GB2312"/>
                <w:sz w:val="24"/>
              </w:rPr>
              <w:t>工作。</w:t>
            </w:r>
          </w:p>
          <w:p>
            <w:pPr>
              <w:pStyle w:val="null3"/>
              <w:ind w:firstLine="480"/>
              <w:jc w:val="left"/>
            </w:pPr>
            <w:r>
              <w:rPr>
                <w:rFonts w:ascii="仿宋_GB2312" w:hAnsi="仿宋_GB2312" w:cs="仿宋_GB2312" w:eastAsia="仿宋_GB2312"/>
                <w:sz w:val="24"/>
              </w:rPr>
              <w:t>成果应满足国家综合货运枢纽补链强链绩效评价关于工作报告编制质量及深度要求。</w:t>
            </w:r>
          </w:p>
          <w:p>
            <w:pPr>
              <w:pStyle w:val="null3"/>
              <w:ind w:firstLine="480"/>
              <w:jc w:val="left"/>
            </w:pPr>
            <w:r>
              <w:rPr>
                <w:rFonts w:ascii="仿宋_GB2312" w:hAnsi="仿宋_GB2312" w:cs="仿宋_GB2312" w:eastAsia="仿宋_GB2312"/>
                <w:sz w:val="24"/>
              </w:rPr>
              <w:t>满足采购人数据保密相关要求。</w:t>
            </w:r>
          </w:p>
          <w:p>
            <w:pPr>
              <w:pStyle w:val="null3"/>
              <w:ind w:firstLine="480"/>
              <w:jc w:val="left"/>
            </w:pPr>
            <w:r>
              <w:rPr>
                <w:rFonts w:ascii="仿宋_GB2312" w:hAnsi="仿宋_GB2312" w:cs="仿宋_GB2312" w:eastAsia="仿宋_GB2312"/>
                <w:sz w:val="24"/>
              </w:rPr>
              <w:t>三、服务人员要求</w:t>
            </w:r>
          </w:p>
          <w:p>
            <w:pPr>
              <w:pStyle w:val="null3"/>
              <w:ind w:firstLine="480"/>
              <w:jc w:val="left"/>
            </w:pPr>
            <w:r>
              <w:rPr>
                <w:rFonts w:ascii="仿宋_GB2312" w:hAnsi="仿宋_GB2312" w:cs="仿宋_GB2312" w:eastAsia="仿宋_GB2312"/>
                <w:sz w:val="24"/>
              </w:rPr>
              <w:t>配备</w:t>
            </w:r>
            <w:r>
              <w:rPr>
                <w:rFonts w:ascii="仿宋_GB2312" w:hAnsi="仿宋_GB2312" w:cs="仿宋_GB2312" w:eastAsia="仿宋_GB2312"/>
                <w:sz w:val="24"/>
              </w:rPr>
              <w:t>项目负责人</w:t>
            </w:r>
            <w:r>
              <w:rPr>
                <w:rFonts w:ascii="仿宋_GB2312" w:hAnsi="仿宋_GB2312" w:cs="仿宋_GB2312" w:eastAsia="仿宋_GB2312"/>
                <w:sz w:val="24"/>
              </w:rPr>
              <w:t>1名，</w:t>
            </w:r>
            <w:r>
              <w:rPr>
                <w:rFonts w:ascii="仿宋_GB2312" w:hAnsi="仿宋_GB2312" w:cs="仿宋_GB2312" w:eastAsia="仿宋_GB2312"/>
                <w:sz w:val="24"/>
              </w:rPr>
              <w:t>具有交通运输类相关</w:t>
            </w:r>
            <w:r>
              <w:rPr>
                <w:rFonts w:ascii="仿宋_GB2312" w:hAnsi="仿宋_GB2312" w:cs="仿宋_GB2312" w:eastAsia="仿宋_GB2312"/>
                <w:sz w:val="24"/>
              </w:rPr>
              <w:t>工作经验及职称；</w:t>
            </w:r>
          </w:p>
          <w:p>
            <w:pPr>
              <w:pStyle w:val="null3"/>
              <w:ind w:firstLine="480"/>
              <w:jc w:val="left"/>
            </w:pPr>
            <w:r>
              <w:rPr>
                <w:rFonts w:ascii="仿宋_GB2312" w:hAnsi="仿宋_GB2312" w:cs="仿宋_GB2312" w:eastAsia="仿宋_GB2312"/>
                <w:sz w:val="24"/>
              </w:rPr>
              <w:t>项目团队成员（不含项目负责人）不少于</w:t>
            </w:r>
            <w:r>
              <w:rPr>
                <w:rFonts w:ascii="仿宋_GB2312" w:hAnsi="仿宋_GB2312" w:cs="仿宋_GB2312" w:eastAsia="仿宋_GB2312"/>
                <w:sz w:val="24"/>
              </w:rPr>
              <w:t>9人，其中不少于4人具有</w:t>
            </w:r>
            <w:r>
              <w:rPr>
                <w:rFonts w:ascii="仿宋_GB2312" w:hAnsi="仿宋_GB2312" w:cs="仿宋_GB2312" w:eastAsia="仿宋_GB2312"/>
                <w:sz w:val="24"/>
              </w:rPr>
              <w:t>咨询工程师（投资）证书（公路、经济专业）</w:t>
            </w:r>
            <w:r>
              <w:rPr>
                <w:rFonts w:ascii="仿宋_GB2312" w:hAnsi="仿宋_GB2312" w:cs="仿宋_GB2312" w:eastAsia="仿宋_GB2312"/>
                <w:sz w:val="24"/>
              </w:rPr>
              <w:t>；不少于</w:t>
            </w:r>
            <w:r>
              <w:rPr>
                <w:rFonts w:ascii="仿宋_GB2312" w:hAnsi="仿宋_GB2312" w:cs="仿宋_GB2312" w:eastAsia="仿宋_GB2312"/>
                <w:sz w:val="24"/>
              </w:rPr>
              <w:t>5人拥有交通运输类相关工作经验及职称。</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①质量标准，符合国家行业相关标准。②验收：根据磋商文件、成交供应商响应文件和合同文本执行。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磋商小组应当启动异常低价磋商审查程序：①磋商报价低于全部通过符合性审查供应商磋商报价平均值50%的，即磋商报价&lt;全部通过符合性审查供应商磋商报价平均值×50%； ②磋商报价低于通过符合性审查的次低报价供应商磋商报价50%的，即磋商报价&lt;通过符合性审查的次低报价供应商磋商报价×50%； ③磋商报价低于采购项目最高限价45%的，即磋商报价&lt;采购项目最高限价×45%；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采购资金的支付方式及约定”的实质性条款要求的； （3）不满足本磋商文件3.2.2服务要求中标注“★”内容的（以服务响应偏离表中响应内容为准）； （4）响应文件有效期不足的或无有效期的； （5）报价超过磋商文件中规定的预算金额或最高限价的； （6）法律、法规和磋商文件规定的其他无效情形。</w:t>
            </w:r>
          </w:p>
        </w:tc>
        <w:tc>
          <w:tcPr>
            <w:tcW w:type="dxa" w:w="1661"/>
          </w:tcPr>
          <w:p>
            <w:pPr>
              <w:pStyle w:val="null3"/>
            </w:pPr>
            <w:r>
              <w:rPr>
                <w:rFonts w:ascii="仿宋_GB2312" w:hAnsi="仿宋_GB2312" w:cs="仿宋_GB2312" w:eastAsia="仿宋_GB2312"/>
              </w:rPr>
              <w:t>响应文件封面 服务响应偏离表.docx 标的清单 承诺书.docx 报价表 商务部分偏离表.docx 响应函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服务目标</w:t>
            </w:r>
          </w:p>
        </w:tc>
        <w:tc>
          <w:tcPr>
            <w:tcW w:type="dxa" w:w="2492"/>
          </w:tcPr>
          <w:p>
            <w:pPr>
              <w:pStyle w:val="null3"/>
            </w:pPr>
            <w:r>
              <w:rPr>
                <w:rFonts w:ascii="仿宋_GB2312" w:hAnsi="仿宋_GB2312" w:cs="仿宋_GB2312" w:eastAsia="仿宋_GB2312"/>
              </w:rPr>
              <w:t>针对本项目有明确的服务目标，内容包括但不限于：针对本项目的需求理解、补链强链政策解读、补链强链绩效评价指标及内涵等。 符合政策要求及本项目需求，无缺陷得15分，每有一项缺陷，扣1分，扣完为止。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1服务目标.docx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针对本项目有详细的实施服务方案，包括但不限于：整体研究思路、数据采集及分析、运输能力、运输服务、运营机制分析等。 满足项目实施需求，无缺陷得15分， 每有一处缺陷，扣1分，扣完为止。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2服务方案.docx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供应商针对本项目提供工作流程，要求各个阶段的工作要点明确；制定时间进度安排，时效性强；提供进度保障措施。 满足项目实施进度要求，无缺陷得9分， 每有一处缺陷，扣1分，扣完为止。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3时间进度安排.docx</w:t>
            </w:r>
          </w:p>
        </w:tc>
      </w:tr>
      <w:tr>
        <w:tc>
          <w:tcPr>
            <w:tcW w:type="dxa" w:w="831"/>
            <w:vMerge/>
          </w:tcPr>
          <w:p/>
        </w:tc>
        <w:tc>
          <w:tcPr>
            <w:tcW w:type="dxa" w:w="1661"/>
          </w:tcPr>
          <w:p>
            <w:pPr>
              <w:pStyle w:val="null3"/>
            </w:pPr>
            <w:r>
              <w:rPr>
                <w:rFonts w:ascii="仿宋_GB2312" w:hAnsi="仿宋_GB2312" w:cs="仿宋_GB2312" w:eastAsia="仿宋_GB2312"/>
              </w:rPr>
              <w:t>质量保障及应急方案</w:t>
            </w:r>
          </w:p>
        </w:tc>
        <w:tc>
          <w:tcPr>
            <w:tcW w:type="dxa" w:w="2492"/>
          </w:tcPr>
          <w:p>
            <w:pPr>
              <w:pStyle w:val="null3"/>
            </w:pPr>
            <w:r>
              <w:rPr>
                <w:rFonts w:ascii="仿宋_GB2312" w:hAnsi="仿宋_GB2312" w:cs="仿宋_GB2312" w:eastAsia="仿宋_GB2312"/>
              </w:rPr>
              <w:t>针对本项目有详细的质量保障及应急方案，包括但不限于工作依据、内控制度；实施过程及报告出具质量把控；对可能出现的问题有具体可行的应急措施和解决方案；针对突发状况的后期跟进服务方案等。 满足项目实施要求，无缺陷得10分， 每有一处缺陷，扣1分，扣完为止。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4质量保障及应急方案.docx</w:t>
            </w:r>
          </w:p>
        </w:tc>
      </w:tr>
      <w:tr>
        <w:tc>
          <w:tcPr>
            <w:tcW w:type="dxa" w:w="831"/>
            <w:vMerge/>
          </w:tcPr>
          <w:p/>
        </w:tc>
        <w:tc>
          <w:tcPr>
            <w:tcW w:type="dxa" w:w="1661"/>
          </w:tcPr>
          <w:p>
            <w:pPr>
              <w:pStyle w:val="null3"/>
            </w:pPr>
            <w:r>
              <w:rPr>
                <w:rFonts w:ascii="仿宋_GB2312" w:hAnsi="仿宋_GB2312" w:cs="仿宋_GB2312" w:eastAsia="仿宋_GB2312"/>
              </w:rPr>
              <w:t>人员资质</w:t>
            </w:r>
          </w:p>
        </w:tc>
        <w:tc>
          <w:tcPr>
            <w:tcW w:type="dxa" w:w="2492"/>
          </w:tcPr>
          <w:p>
            <w:pPr>
              <w:pStyle w:val="null3"/>
            </w:pPr>
            <w:r>
              <w:rPr>
                <w:rFonts w:ascii="仿宋_GB2312" w:hAnsi="仿宋_GB2312" w:cs="仿宋_GB2312" w:eastAsia="仿宋_GB2312"/>
              </w:rPr>
              <w:t>（1）针对本项目拟派项目负责人具有交通运输类相关专业高级及以上职称得2分，未提供不得分。 （2）针对本项目拟派成员（除项目负责人外）具有咨询工程师（投资）证书（公路、经济专业），每有1人得1分，最高得4分，未提供不得分。 （3）针对本项目拟派成员（除项目负责人外）具有交通运输类相关专业正高级职称证书，每有1人得2分，最高得4分，未提供不得分。 （4）针对本项目拟派成员（除项目负责人外）具有交通运输类相关专业副高级职称证书，每有1人得1分，最高得5分，未提供不得分。 备注： 1.上述人员须为本单位员工，提供人员在职证明材料（以本单位缴纳的社保为准），未提供该人员不计分； 2.序号（2）和（3）（4）人员可重复计分； 3.序号（3）（4）不重复计分。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5人员资质.docx</w:t>
            </w:r>
          </w:p>
        </w:tc>
      </w:tr>
      <w:tr>
        <w:tc>
          <w:tcPr>
            <w:tcW w:type="dxa" w:w="831"/>
            <w:vMerge/>
          </w:tcPr>
          <w:p/>
        </w:tc>
        <w:tc>
          <w:tcPr>
            <w:tcW w:type="dxa" w:w="1661"/>
          </w:tcPr>
          <w:p>
            <w:pPr>
              <w:pStyle w:val="null3"/>
            </w:pPr>
            <w:r>
              <w:rPr>
                <w:rFonts w:ascii="仿宋_GB2312" w:hAnsi="仿宋_GB2312" w:cs="仿宋_GB2312" w:eastAsia="仿宋_GB2312"/>
              </w:rPr>
              <w:t>保密方案及廉洁从业方案</w:t>
            </w:r>
          </w:p>
        </w:tc>
        <w:tc>
          <w:tcPr>
            <w:tcW w:type="dxa" w:w="2492"/>
          </w:tcPr>
          <w:p>
            <w:pPr>
              <w:pStyle w:val="null3"/>
            </w:pPr>
            <w:r>
              <w:rPr>
                <w:rFonts w:ascii="仿宋_GB2312" w:hAnsi="仿宋_GB2312" w:cs="仿宋_GB2312" w:eastAsia="仿宋_GB2312"/>
              </w:rPr>
              <w:t>针对本项目需求，供应商提供保密控制措施及廉洁从业方案。 满足项目实施要求，无缺陷得6分， 每有一处缺陷，扣1分，扣完为止。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6保密方案及廉洁从业方案.docx</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实施过程中存在的难点、重点分析透彻并能提供相应处理方案；以及提供有利于项目实施的合理化建议。 满足项目实施要求，无缺陷得10分，每有一处缺陷，扣1分，扣完为止。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7重点难点分析及合理化建议.docx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1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价格分统一采用低价优先法计算，即满足磋商文件要求且价格最低的磋商报价为评标基准价，其价格分为满分。其他供应商的价格分统一按照下列公式计算：价格分= (评标基准价／磋商报价)×报价分值 注：1.计算分数时四舍五入取小数点后两位；2.落实政府采购政策，详见价格扣除。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详见附件：1服务目标.docx</w:t>
      </w:r>
    </w:p>
    <w:p>
      <w:pPr>
        <w:pStyle w:val="null3"/>
        <w:ind w:firstLine="960"/>
      </w:pPr>
      <w:r>
        <w:rPr>
          <w:rFonts w:ascii="仿宋_GB2312" w:hAnsi="仿宋_GB2312" w:cs="仿宋_GB2312" w:eastAsia="仿宋_GB2312"/>
        </w:rPr>
        <w:t>详见附件：2服务方案.docx</w:t>
      </w:r>
    </w:p>
    <w:p>
      <w:pPr>
        <w:pStyle w:val="null3"/>
        <w:ind w:firstLine="960"/>
      </w:pPr>
      <w:r>
        <w:rPr>
          <w:rFonts w:ascii="仿宋_GB2312" w:hAnsi="仿宋_GB2312" w:cs="仿宋_GB2312" w:eastAsia="仿宋_GB2312"/>
        </w:rPr>
        <w:t>详见附件：3时间进度安排.docx</w:t>
      </w:r>
    </w:p>
    <w:p>
      <w:pPr>
        <w:pStyle w:val="null3"/>
        <w:ind w:firstLine="960"/>
      </w:pPr>
      <w:r>
        <w:rPr>
          <w:rFonts w:ascii="仿宋_GB2312" w:hAnsi="仿宋_GB2312" w:cs="仿宋_GB2312" w:eastAsia="仿宋_GB2312"/>
        </w:rPr>
        <w:t>详见附件：4质量保障及应急方案.docx</w:t>
      </w:r>
    </w:p>
    <w:p>
      <w:pPr>
        <w:pStyle w:val="null3"/>
        <w:ind w:firstLine="960"/>
      </w:pPr>
      <w:r>
        <w:rPr>
          <w:rFonts w:ascii="仿宋_GB2312" w:hAnsi="仿宋_GB2312" w:cs="仿宋_GB2312" w:eastAsia="仿宋_GB2312"/>
        </w:rPr>
        <w:t>详见附件：5人员资质.docx</w:t>
      </w:r>
    </w:p>
    <w:p>
      <w:pPr>
        <w:pStyle w:val="null3"/>
        <w:ind w:firstLine="960"/>
      </w:pPr>
      <w:r>
        <w:rPr>
          <w:rFonts w:ascii="仿宋_GB2312" w:hAnsi="仿宋_GB2312" w:cs="仿宋_GB2312" w:eastAsia="仿宋_GB2312"/>
        </w:rPr>
        <w:t>详见附件：6保密方案及廉洁从业方案.docx</w:t>
      </w:r>
    </w:p>
    <w:p>
      <w:pPr>
        <w:pStyle w:val="null3"/>
        <w:ind w:firstLine="960"/>
      </w:pPr>
      <w:r>
        <w:rPr>
          <w:rFonts w:ascii="仿宋_GB2312" w:hAnsi="仿宋_GB2312" w:cs="仿宋_GB2312" w:eastAsia="仿宋_GB2312"/>
        </w:rPr>
        <w:t>详见附件：7重点难点分析及合理化建议.docx</w:t>
      </w:r>
    </w:p>
    <w:p>
      <w:pPr>
        <w:pStyle w:val="null3"/>
        <w:ind w:firstLine="960"/>
      </w:pPr>
      <w:r>
        <w:rPr>
          <w:rFonts w:ascii="仿宋_GB2312" w:hAnsi="仿宋_GB2312" w:cs="仿宋_GB2312" w:eastAsia="仿宋_GB2312"/>
        </w:rPr>
        <w:t>详见附件：8业绩.docx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